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B3F78E" w14:textId="1B907171" w:rsidR="00047796" w:rsidRDefault="009F0DD6" w:rsidP="009F0DD6">
      <w:pPr>
        <w:jc w:val="center"/>
        <w:rPr>
          <w:b/>
          <w:bCs/>
          <w:u w:val="single"/>
        </w:rPr>
      </w:pPr>
      <w:r w:rsidRPr="009F0DD6">
        <w:rPr>
          <w:b/>
          <w:bCs/>
          <w:u w:val="single"/>
        </w:rPr>
        <w:t>September 1, 2026</w:t>
      </w:r>
      <w:r>
        <w:rPr>
          <w:b/>
          <w:bCs/>
          <w:u w:val="single"/>
        </w:rPr>
        <w:t xml:space="preserve">, </w:t>
      </w:r>
      <w:r w:rsidRPr="009F0DD6">
        <w:rPr>
          <w:b/>
          <w:bCs/>
          <w:u w:val="single"/>
        </w:rPr>
        <w:t>AHD Learning Objectives:</w:t>
      </w:r>
    </w:p>
    <w:p w14:paraId="75C031EE" w14:textId="77777777" w:rsidR="009F0DD6" w:rsidRDefault="009F0DD6" w:rsidP="009F0DD6">
      <w:pPr>
        <w:jc w:val="center"/>
        <w:rPr>
          <w:b/>
          <w:bCs/>
          <w:u w:val="single"/>
        </w:rPr>
      </w:pPr>
    </w:p>
    <w:p w14:paraId="1BEA0918" w14:textId="2CE00A29" w:rsidR="009F0DD6" w:rsidRPr="00A37C5F" w:rsidRDefault="009F0DD6" w:rsidP="009F0DD6">
      <w:pPr>
        <w:rPr>
          <w:b/>
          <w:bCs/>
          <w:u w:val="single"/>
        </w:rPr>
      </w:pPr>
      <w:r w:rsidRPr="00A37C5F">
        <w:rPr>
          <w:b/>
          <w:bCs/>
          <w:u w:val="single"/>
        </w:rPr>
        <w:t>Myeloproliferative Neoplasms:</w:t>
      </w:r>
    </w:p>
    <w:p w14:paraId="585E4863" w14:textId="0C260185" w:rsidR="009F0DD6" w:rsidRPr="00A37C5F" w:rsidRDefault="009F0DD6" w:rsidP="009F0DD6">
      <w:pPr>
        <w:pStyle w:val="ListParagraph"/>
        <w:numPr>
          <w:ilvl w:val="0"/>
          <w:numId w:val="1"/>
        </w:numPr>
      </w:pPr>
      <w:r w:rsidRPr="00A37C5F">
        <w:t xml:space="preserve">Understand that MPNs stem from acquired mutations in </w:t>
      </w:r>
      <w:proofErr w:type="spellStart"/>
      <w:r w:rsidRPr="00A37C5F">
        <w:t>hematopoioetic</w:t>
      </w:r>
      <w:proofErr w:type="spellEnd"/>
      <w:r w:rsidRPr="00A37C5F">
        <w:t xml:space="preserve"> stem cells leading to overproduction of mature blood elements.</w:t>
      </w:r>
    </w:p>
    <w:p w14:paraId="28D81CE1" w14:textId="3FC71583" w:rsidR="009F0DD6" w:rsidRPr="00A37C5F" w:rsidRDefault="009F0DD6" w:rsidP="009F0DD6">
      <w:pPr>
        <w:pStyle w:val="ListParagraph"/>
        <w:numPr>
          <w:ilvl w:val="0"/>
          <w:numId w:val="1"/>
        </w:numPr>
      </w:pPr>
      <w:r w:rsidRPr="00A37C5F">
        <w:t xml:space="preserve">Recognize the diagnostic and prognostic role of </w:t>
      </w:r>
      <w:r w:rsidRPr="00A37C5F">
        <w:rPr>
          <w:i/>
          <w:iCs/>
        </w:rPr>
        <w:t>JAK2V617F, CALR</w:t>
      </w:r>
      <w:r w:rsidRPr="00A37C5F">
        <w:t xml:space="preserve">, and </w:t>
      </w:r>
      <w:r w:rsidRPr="00A37C5F">
        <w:rPr>
          <w:i/>
          <w:iCs/>
        </w:rPr>
        <w:t>MPL</w:t>
      </w:r>
      <w:r w:rsidRPr="00A37C5F">
        <w:t xml:space="preserve"> mutations in driving cytokine receptor sensitivity.</w:t>
      </w:r>
    </w:p>
    <w:p w14:paraId="5AB66F98" w14:textId="703460C9" w:rsidR="009F0DD6" w:rsidRPr="00A37C5F" w:rsidRDefault="009F0DD6" w:rsidP="009F0DD6">
      <w:pPr>
        <w:pStyle w:val="ListParagraph"/>
        <w:numPr>
          <w:ilvl w:val="0"/>
          <w:numId w:val="1"/>
        </w:numPr>
      </w:pPr>
      <w:r w:rsidRPr="00A37C5F">
        <w:t>Identify signs of hyperviscosity, constitutional symptoms (fatigue, night sweats, weight loss) and extramedullary hematopoiesis causing splenomegaly.</w:t>
      </w:r>
    </w:p>
    <w:p w14:paraId="40E3A749" w14:textId="1F66E2CE" w:rsidR="009F0DD6" w:rsidRPr="00A37C5F" w:rsidRDefault="009F0DD6" w:rsidP="009F0DD6">
      <w:pPr>
        <w:pStyle w:val="ListParagraph"/>
        <w:numPr>
          <w:ilvl w:val="0"/>
          <w:numId w:val="1"/>
        </w:numPr>
      </w:pPr>
      <w:r w:rsidRPr="00A37C5F">
        <w:t>Assess risks for major arterial or venous thrombosis (including unusual sites like Budd-Chiari syndrome) and paradoxical bleeding.</w:t>
      </w:r>
    </w:p>
    <w:p w14:paraId="2C992678" w14:textId="29383EF9" w:rsidR="009F0DD6" w:rsidRPr="00A37C5F" w:rsidRDefault="009F0DD6" w:rsidP="009F0DD6">
      <w:pPr>
        <w:pStyle w:val="ListParagraph"/>
        <w:numPr>
          <w:ilvl w:val="0"/>
          <w:numId w:val="1"/>
        </w:numPr>
      </w:pPr>
      <w:r w:rsidRPr="00A37C5F">
        <w:t>Distinguish primary polycythemia/thrombocytosis from reactive (secondary) overproduction due to hypoxia, inflammation, or iron deficiency.</w:t>
      </w:r>
    </w:p>
    <w:p w14:paraId="122054EF" w14:textId="4F7055D9" w:rsidR="009F0DD6" w:rsidRPr="00A37C5F" w:rsidRDefault="009F0DD6" w:rsidP="009F0DD6">
      <w:pPr>
        <w:pStyle w:val="ListParagraph"/>
        <w:numPr>
          <w:ilvl w:val="0"/>
          <w:numId w:val="1"/>
        </w:numPr>
      </w:pPr>
      <w:r w:rsidRPr="00A37C5F">
        <w:t>Formulate initial treatment plans utilizing phlebotomy and low dose aspirin in PV alongside cytoreductive therapies like hydroxyurea or pegylated interferon when indicated.</w:t>
      </w:r>
    </w:p>
    <w:p w14:paraId="72D69522" w14:textId="21DAC72F" w:rsidR="009F0DD6" w:rsidRPr="00A37C5F" w:rsidRDefault="009F0DD6" w:rsidP="009F0DD6">
      <w:pPr>
        <w:pStyle w:val="ListParagraph"/>
        <w:numPr>
          <w:ilvl w:val="0"/>
          <w:numId w:val="1"/>
        </w:numPr>
      </w:pPr>
      <w:r w:rsidRPr="00A37C5F">
        <w:t xml:space="preserve">Monitor for disease progression, transformation to myelofibrosis or acute leukemic transformation. </w:t>
      </w:r>
    </w:p>
    <w:p w14:paraId="72A072FA" w14:textId="77777777" w:rsidR="009F0DD6" w:rsidRPr="00A37C5F" w:rsidRDefault="009F0DD6" w:rsidP="009F0DD6"/>
    <w:p w14:paraId="3EFBFAF6" w14:textId="0E8BCDAC" w:rsidR="009F0DD6" w:rsidRPr="00A37C5F" w:rsidRDefault="009F0DD6" w:rsidP="009F0DD6">
      <w:pPr>
        <w:rPr>
          <w:b/>
          <w:bCs/>
          <w:u w:val="single"/>
        </w:rPr>
      </w:pPr>
      <w:r w:rsidRPr="00A37C5F">
        <w:rPr>
          <w:b/>
          <w:bCs/>
          <w:u w:val="single"/>
        </w:rPr>
        <w:t>Acute Leukemia:</w:t>
      </w:r>
    </w:p>
    <w:p w14:paraId="41309F13" w14:textId="55EEC48F" w:rsidR="009F0DD6" w:rsidRPr="00A37C5F" w:rsidRDefault="009F0DD6" w:rsidP="009F0DD6">
      <w:pPr>
        <w:pStyle w:val="ListParagraph"/>
        <w:numPr>
          <w:ilvl w:val="0"/>
          <w:numId w:val="2"/>
        </w:numPr>
      </w:pPr>
      <w:r w:rsidRPr="00A37C5F">
        <w:t xml:space="preserve">Identify and initiate immediate management for acute leukemia complications including tumor lysis syndrome, </w:t>
      </w:r>
      <w:proofErr w:type="spellStart"/>
      <w:r w:rsidRPr="00A37C5F">
        <w:t>leukostasis</w:t>
      </w:r>
      <w:proofErr w:type="spellEnd"/>
      <w:r w:rsidRPr="00A37C5F">
        <w:t>, and disseminated intravascular coagulation (DIC).</w:t>
      </w:r>
    </w:p>
    <w:p w14:paraId="0B3A64B1" w14:textId="448AA973" w:rsidR="009F0DD6" w:rsidRPr="00A37C5F" w:rsidRDefault="009F0DD6" w:rsidP="009F0DD6">
      <w:pPr>
        <w:pStyle w:val="ListParagraph"/>
        <w:numPr>
          <w:ilvl w:val="0"/>
          <w:numId w:val="2"/>
        </w:numPr>
      </w:pPr>
      <w:r w:rsidRPr="00A37C5F">
        <w:t>Order and interpret the correct initial laboratory panel including a complete blood count with differential, peripheral blood smear, DIC panel, and comprehensive metabolic panel</w:t>
      </w:r>
      <w:r w:rsidR="00D416F5" w:rsidRPr="00A37C5F">
        <w:t>.</w:t>
      </w:r>
    </w:p>
    <w:p w14:paraId="769F9388" w14:textId="6D95C4A0" w:rsidR="00D416F5" w:rsidRPr="00A37C5F" w:rsidRDefault="00D416F5" w:rsidP="009F0DD6">
      <w:pPr>
        <w:pStyle w:val="ListParagraph"/>
        <w:numPr>
          <w:ilvl w:val="0"/>
          <w:numId w:val="2"/>
        </w:numPr>
      </w:pPr>
      <w:r w:rsidRPr="00A37C5F">
        <w:t>Differentiate between Acute Myeloid Leukemia (AML) and Acute Lymphoblastic Leukemia (ALL) based on patient demographics, clinical presentation, and morphologic clues like Auer rods.</w:t>
      </w:r>
    </w:p>
    <w:p w14:paraId="4ACCF6D5" w14:textId="28CD7EE0" w:rsidR="00D416F5" w:rsidRPr="00A37C5F" w:rsidRDefault="00D416F5" w:rsidP="009F0DD6">
      <w:pPr>
        <w:pStyle w:val="ListParagraph"/>
        <w:numPr>
          <w:ilvl w:val="0"/>
          <w:numId w:val="2"/>
        </w:numPr>
      </w:pPr>
      <w:r w:rsidRPr="00A37C5F">
        <w:t>Explain the utility of flow cytometry, cytogenetics, and molecular testing (</w:t>
      </w:r>
      <w:proofErr w:type="spellStart"/>
      <w:r w:rsidRPr="00A37C5F">
        <w:t>eg.</w:t>
      </w:r>
      <w:proofErr w:type="spellEnd"/>
      <w:r w:rsidRPr="00A37C5F">
        <w:t xml:space="preserve"> FLTE, NPM1, BCR-ABL1) for definitive diagnosis and risk stratification.</w:t>
      </w:r>
    </w:p>
    <w:p w14:paraId="1C8BA6B0" w14:textId="169AB6AF" w:rsidR="00D416F5" w:rsidRPr="00A37C5F" w:rsidRDefault="00D416F5" w:rsidP="009F0DD6">
      <w:pPr>
        <w:pStyle w:val="ListParagraph"/>
        <w:numPr>
          <w:ilvl w:val="0"/>
          <w:numId w:val="2"/>
        </w:numPr>
      </w:pPr>
      <w:r w:rsidRPr="00A37C5F">
        <w:t>Manage transfusion thresholds for packed red blood cells and platelets in the setting of active bone marrow suppression.</w:t>
      </w:r>
    </w:p>
    <w:p w14:paraId="01406303" w14:textId="63E9EA2E" w:rsidR="00D416F5" w:rsidRPr="00A37C5F" w:rsidRDefault="00D416F5" w:rsidP="009F0DD6">
      <w:pPr>
        <w:pStyle w:val="ListParagraph"/>
        <w:numPr>
          <w:ilvl w:val="0"/>
          <w:numId w:val="2"/>
        </w:numPr>
      </w:pPr>
      <w:r w:rsidRPr="00A37C5F">
        <w:t>Outline the conceptual differences between induction, consolidation, and maintenance therapy as well as the role of hematopoietic stem cell transplantation.</w:t>
      </w:r>
    </w:p>
    <w:p w14:paraId="1A7F4C4D" w14:textId="1F516F2F" w:rsidR="00D416F5" w:rsidRPr="00A37C5F" w:rsidRDefault="00D416F5" w:rsidP="009F0DD6">
      <w:pPr>
        <w:pStyle w:val="ListParagraph"/>
        <w:numPr>
          <w:ilvl w:val="0"/>
          <w:numId w:val="2"/>
        </w:numPr>
      </w:pPr>
      <w:r w:rsidRPr="00A37C5F">
        <w:lastRenderedPageBreak/>
        <w:t>Identify Acute Promyelocytic Leukemia as a distinct medical emergency and understand the rationale for immediate initiation of All-Trans-Retinoic Acid (ATRA).</w:t>
      </w:r>
    </w:p>
    <w:p w14:paraId="67EC0E4E" w14:textId="77777777" w:rsidR="00D416F5" w:rsidRPr="00A37C5F" w:rsidRDefault="00D416F5" w:rsidP="00D416F5"/>
    <w:p w14:paraId="74477FE2" w14:textId="6748821F" w:rsidR="00D416F5" w:rsidRPr="00A37C5F" w:rsidRDefault="00D416F5" w:rsidP="00D416F5">
      <w:r w:rsidRPr="00A37C5F">
        <w:rPr>
          <w:b/>
          <w:bCs/>
          <w:u w:val="single"/>
        </w:rPr>
        <w:t>Transfusions:</w:t>
      </w:r>
    </w:p>
    <w:p w14:paraId="68F8D373" w14:textId="2C4EBBD5" w:rsidR="00D416F5" w:rsidRPr="00A37C5F" w:rsidRDefault="002727CE" w:rsidP="00D416F5">
      <w:pPr>
        <w:pStyle w:val="ListParagraph"/>
        <w:numPr>
          <w:ilvl w:val="0"/>
          <w:numId w:val="4"/>
        </w:numPr>
      </w:pPr>
      <w:r w:rsidRPr="00A37C5F">
        <w:t>Select the appropriate blood products (</w:t>
      </w:r>
      <w:proofErr w:type="spellStart"/>
      <w:r w:rsidRPr="00A37C5F">
        <w:t>pRBCs</w:t>
      </w:r>
      <w:proofErr w:type="spellEnd"/>
      <w:r w:rsidRPr="00A37C5F">
        <w:t>, platelets, fresh frozen plasma, or cryoprecipitate) based on specific clinical scenarios such as active hemorrhage, severe thrombocytopenia, or coagulopathy.</w:t>
      </w:r>
    </w:p>
    <w:p w14:paraId="0A8B6727" w14:textId="5DDD9D1C" w:rsidR="002727CE" w:rsidRPr="00A37C5F" w:rsidRDefault="002727CE" w:rsidP="00D416F5">
      <w:pPr>
        <w:pStyle w:val="ListParagraph"/>
        <w:numPr>
          <w:ilvl w:val="0"/>
          <w:numId w:val="4"/>
        </w:numPr>
      </w:pPr>
      <w:r w:rsidRPr="00A37C5F">
        <w:t>Identify clinical indications for modified blood products including irradiated products and washed/</w:t>
      </w:r>
      <w:proofErr w:type="spellStart"/>
      <w:r w:rsidRPr="00A37C5F">
        <w:t>leukoreduced</w:t>
      </w:r>
      <w:proofErr w:type="spellEnd"/>
      <w:r w:rsidRPr="00A37C5F">
        <w:t xml:space="preserve"> products.</w:t>
      </w:r>
    </w:p>
    <w:p w14:paraId="00003BFB" w14:textId="341895A7" w:rsidR="002727CE" w:rsidRPr="00A37C5F" w:rsidRDefault="002727CE" w:rsidP="00D416F5">
      <w:pPr>
        <w:pStyle w:val="ListParagraph"/>
        <w:numPr>
          <w:ilvl w:val="0"/>
          <w:numId w:val="4"/>
        </w:numPr>
      </w:pPr>
      <w:r w:rsidRPr="00A37C5F">
        <w:t>Apply evidence-based restrictive hemoglobin thresholds (typically &lt;7 g/dL) for packed red cell transfusions in hemodynamically stable patients.</w:t>
      </w:r>
    </w:p>
    <w:p w14:paraId="4B7717AE" w14:textId="05C9E948" w:rsidR="002727CE" w:rsidRPr="00A37C5F" w:rsidRDefault="002727CE" w:rsidP="00D416F5">
      <w:pPr>
        <w:pStyle w:val="ListParagraph"/>
        <w:numPr>
          <w:ilvl w:val="0"/>
          <w:numId w:val="4"/>
        </w:numPr>
      </w:pPr>
      <w:r w:rsidRPr="00A37C5F">
        <w:t>Interpret the clinical significance of a type and screen, type and crossmatch, and the implications of unexpected red blood cell antibodies.</w:t>
      </w:r>
    </w:p>
    <w:p w14:paraId="611945EC" w14:textId="464B672C" w:rsidR="002727CE" w:rsidRPr="00A37C5F" w:rsidRDefault="002727CE" w:rsidP="00D416F5">
      <w:pPr>
        <w:pStyle w:val="ListParagraph"/>
        <w:numPr>
          <w:ilvl w:val="0"/>
          <w:numId w:val="4"/>
        </w:numPr>
      </w:pPr>
      <w:r w:rsidRPr="00A37C5F">
        <w:t>Differentiate between acute transfusion reactions including febrile non-hemolytic, allergic, anaphylactic, acute hemolytic and septic reactions.</w:t>
      </w:r>
    </w:p>
    <w:p w14:paraId="0B74C2FB" w14:textId="4D334B33" w:rsidR="002727CE" w:rsidRPr="00A37C5F" w:rsidRDefault="002727CE" w:rsidP="00D416F5">
      <w:pPr>
        <w:pStyle w:val="ListParagraph"/>
        <w:numPr>
          <w:ilvl w:val="0"/>
          <w:numId w:val="4"/>
        </w:numPr>
      </w:pPr>
      <w:r w:rsidRPr="00A37C5F">
        <w:t>Distinguish between Transfusion-Related Acute Lung Injury (TRALI) and Transfusion- Associated Circulatory Overload (TACO) using clinical presentation, volume status, and timing.</w:t>
      </w:r>
    </w:p>
    <w:p w14:paraId="6D3BCCF0" w14:textId="3A74FA8F" w:rsidR="002727CE" w:rsidRPr="00A37C5F" w:rsidRDefault="002727CE" w:rsidP="00D416F5">
      <w:pPr>
        <w:pStyle w:val="ListParagraph"/>
        <w:numPr>
          <w:ilvl w:val="0"/>
          <w:numId w:val="4"/>
        </w:numPr>
      </w:pPr>
      <w:r w:rsidRPr="00A37C5F">
        <w:t xml:space="preserve">Execute the mandatory steps for a suspected reaction: immediately stop the transfusion, maintain IV access with normal saline, check vital signs, perform a clerical check, and notify the blood back. </w:t>
      </w:r>
    </w:p>
    <w:p w14:paraId="2778A8C2" w14:textId="77777777" w:rsidR="00D416F5" w:rsidRPr="00A37C5F" w:rsidRDefault="00D416F5" w:rsidP="00D416F5">
      <w:pPr>
        <w:pStyle w:val="ListParagraph"/>
        <w:rPr>
          <w:b/>
          <w:bCs/>
          <w:u w:val="single"/>
        </w:rPr>
      </w:pPr>
    </w:p>
    <w:sectPr w:rsidR="00D416F5" w:rsidRPr="00A37C5F" w:rsidSect="0037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587763"/>
    <w:multiLevelType w:val="hybridMultilevel"/>
    <w:tmpl w:val="B338D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119C6"/>
    <w:multiLevelType w:val="hybridMultilevel"/>
    <w:tmpl w:val="0C66F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A6134"/>
    <w:multiLevelType w:val="hybridMultilevel"/>
    <w:tmpl w:val="8C3A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523CA"/>
    <w:multiLevelType w:val="hybridMultilevel"/>
    <w:tmpl w:val="541289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154217">
    <w:abstractNumId w:val="1"/>
  </w:num>
  <w:num w:numId="2" w16cid:durableId="1049114280">
    <w:abstractNumId w:val="0"/>
  </w:num>
  <w:num w:numId="3" w16cid:durableId="561718137">
    <w:abstractNumId w:val="2"/>
  </w:num>
  <w:num w:numId="4" w16cid:durableId="531110327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DD6"/>
    <w:rsid w:val="00047796"/>
    <w:rsid w:val="001E0AA1"/>
    <w:rsid w:val="002727CE"/>
    <w:rsid w:val="00371DD9"/>
    <w:rsid w:val="003748B3"/>
    <w:rsid w:val="004D48E2"/>
    <w:rsid w:val="005E4CA0"/>
    <w:rsid w:val="008D4061"/>
    <w:rsid w:val="009F0DD6"/>
    <w:rsid w:val="00A37C5F"/>
    <w:rsid w:val="00B6416E"/>
    <w:rsid w:val="00D416F5"/>
    <w:rsid w:val="00F1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92C9F3"/>
  <w15:chartTrackingRefBased/>
  <w15:docId w15:val="{050BCD2B-34AF-3340-A8FA-904EF7E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D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D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D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D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D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D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D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D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D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D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D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D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D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D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D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D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D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D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D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D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D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D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D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D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D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D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Shinar</dc:creator>
  <cp:keywords/>
  <dc:description/>
  <cp:lastModifiedBy>Ron Shinar</cp:lastModifiedBy>
  <cp:revision>2</cp:revision>
  <dcterms:created xsi:type="dcterms:W3CDTF">2026-07-30T21:02:00Z</dcterms:created>
  <dcterms:modified xsi:type="dcterms:W3CDTF">2026-07-30T21:02:00Z</dcterms:modified>
</cp:coreProperties>
</file>