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C095" w14:textId="4A689488" w:rsidR="00396502" w:rsidRPr="009E158E" w:rsidRDefault="009E158E" w:rsidP="009E158E">
      <w:pPr>
        <w:jc w:val="center"/>
        <w:rPr>
          <w:rFonts w:ascii="Arial" w:hAnsi="Arial" w:cs="Arial"/>
          <w:b/>
          <w:bCs/>
        </w:rPr>
      </w:pPr>
      <w:r w:rsidRPr="009E158E">
        <w:rPr>
          <w:rFonts w:ascii="Arial" w:hAnsi="Arial" w:cs="Arial"/>
          <w:b/>
          <w:bCs/>
        </w:rPr>
        <w:t xml:space="preserve">January </w:t>
      </w:r>
      <w:r w:rsidR="00F51671">
        <w:rPr>
          <w:rFonts w:ascii="Arial" w:hAnsi="Arial" w:cs="Arial"/>
          <w:b/>
          <w:bCs/>
        </w:rPr>
        <w:t xml:space="preserve">9, 2024 </w:t>
      </w:r>
      <w:r w:rsidRPr="009E158E">
        <w:rPr>
          <w:rFonts w:ascii="Arial" w:hAnsi="Arial" w:cs="Arial"/>
          <w:b/>
          <w:bCs/>
        </w:rPr>
        <w:t xml:space="preserve"> </w:t>
      </w:r>
      <w:r w:rsidRPr="009E158E">
        <w:rPr>
          <w:rFonts w:ascii="Arial" w:hAnsi="Arial" w:cs="Arial"/>
          <w:b/>
          <w:bCs/>
        </w:rPr>
        <w:br/>
        <w:t>AHD Objectives</w:t>
      </w:r>
    </w:p>
    <w:p w14:paraId="5C42E170" w14:textId="48CFE3E3" w:rsidR="009E158E" w:rsidRPr="009E158E" w:rsidRDefault="009E158E" w:rsidP="009E158E">
      <w:pPr>
        <w:pStyle w:val="NormalWeb"/>
        <w:rPr>
          <w:rFonts w:ascii="Arial" w:hAnsi="Arial" w:cs="Arial"/>
        </w:rPr>
      </w:pPr>
      <w:r w:rsidRPr="009E158E">
        <w:rPr>
          <w:rFonts w:ascii="Arial" w:hAnsi="Arial" w:cs="Arial"/>
          <w:b/>
          <w:bCs/>
        </w:rPr>
        <w:t xml:space="preserve">Hyperkalemia </w:t>
      </w:r>
    </w:p>
    <w:p w14:paraId="0CCF5D35" w14:textId="77777777" w:rsidR="009E158E" w:rsidRPr="009E158E" w:rsidRDefault="009E158E" w:rsidP="009E158E">
      <w:pPr>
        <w:pStyle w:val="NormalWeb"/>
        <w:numPr>
          <w:ilvl w:val="0"/>
          <w:numId w:val="4"/>
        </w:numPr>
        <w:rPr>
          <w:rFonts w:ascii="Arial" w:hAnsi="Arial" w:cs="Arial"/>
        </w:rPr>
      </w:pPr>
      <w:r w:rsidRPr="009E158E">
        <w:rPr>
          <w:rFonts w:ascii="Arial" w:hAnsi="Arial" w:cs="Arial"/>
        </w:rPr>
        <w:t xml:space="preserve">Describe the laboratory evaluation that must be obtained to work up the hyperkalemic patient. (Comment on </w:t>
      </w:r>
      <w:proofErr w:type="spellStart"/>
      <w:r w:rsidRPr="009E158E">
        <w:rPr>
          <w:rFonts w:ascii="Arial" w:hAnsi="Arial" w:cs="Arial"/>
        </w:rPr>
        <w:t>pseudohyperkalemia</w:t>
      </w:r>
      <w:proofErr w:type="spellEnd"/>
      <w:r w:rsidRPr="009E158E">
        <w:rPr>
          <w:rFonts w:ascii="Arial" w:hAnsi="Arial" w:cs="Arial"/>
        </w:rPr>
        <w:t xml:space="preserve">, EKG findings and sensitivity, and the required urine studies.) </w:t>
      </w:r>
    </w:p>
    <w:p w14:paraId="0A3773BA" w14:textId="77777777" w:rsidR="009E158E" w:rsidRPr="009E158E" w:rsidRDefault="009E158E" w:rsidP="009E158E">
      <w:pPr>
        <w:pStyle w:val="NormalWeb"/>
        <w:numPr>
          <w:ilvl w:val="0"/>
          <w:numId w:val="4"/>
        </w:numPr>
        <w:rPr>
          <w:rFonts w:ascii="Arial" w:hAnsi="Arial" w:cs="Arial"/>
        </w:rPr>
      </w:pPr>
      <w:r w:rsidRPr="009E158E">
        <w:rPr>
          <w:rFonts w:ascii="Arial" w:hAnsi="Arial" w:cs="Arial"/>
        </w:rPr>
        <w:t xml:space="preserve">Describe the acute management of the hyperkalemic patient including steps to stabilize the myocardial membrane, shift potassium into the cells, and lower the total body potassium. Know the appropriate doses, methods of delivery, and contraindications to calcium gluconate, insulin and glucose, beta-agonists, and kayexalate. </w:t>
      </w:r>
    </w:p>
    <w:p w14:paraId="0C84C33E" w14:textId="75E584FF" w:rsidR="009E158E" w:rsidRPr="009E158E" w:rsidRDefault="009E158E" w:rsidP="009E158E">
      <w:pPr>
        <w:pStyle w:val="NormalWeb"/>
        <w:numPr>
          <w:ilvl w:val="0"/>
          <w:numId w:val="4"/>
        </w:numPr>
        <w:rPr>
          <w:rFonts w:ascii="Arial" w:hAnsi="Arial" w:cs="Arial"/>
        </w:rPr>
      </w:pPr>
      <w:r w:rsidRPr="009E158E">
        <w:rPr>
          <w:rFonts w:ascii="Arial" w:hAnsi="Arial" w:cs="Arial"/>
        </w:rPr>
        <w:t>Know when to hospitalize and when to treat hyperkalemia.</w:t>
      </w:r>
    </w:p>
    <w:p w14:paraId="4291D87F" w14:textId="6A664677" w:rsidR="009E158E" w:rsidRPr="009E158E" w:rsidRDefault="009E158E" w:rsidP="009E158E">
      <w:pPr>
        <w:pStyle w:val="NormalWeb"/>
        <w:rPr>
          <w:rFonts w:ascii="Arial" w:hAnsi="Arial" w:cs="Arial"/>
        </w:rPr>
      </w:pPr>
      <w:r w:rsidRPr="009E158E">
        <w:rPr>
          <w:rFonts w:ascii="Arial" w:hAnsi="Arial" w:cs="Arial"/>
          <w:b/>
          <w:bCs/>
        </w:rPr>
        <w:t xml:space="preserve">Hyponatremia </w:t>
      </w:r>
    </w:p>
    <w:p w14:paraId="702B5FD1"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Define hyponatremia (mild, moderate, and severe), and specifically the time frame of acute versus chronic hyponatremia. </w:t>
      </w:r>
    </w:p>
    <w:p w14:paraId="4B07D368"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Describe the signs and symptoms of hyponatremia from subtle to severe. </w:t>
      </w:r>
    </w:p>
    <w:p w14:paraId="064607A3"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Describe the initial management of a patient with severe, symptomatic hyponatremia. </w:t>
      </w:r>
    </w:p>
    <w:p w14:paraId="479FBD4C"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Give the differential diagnosis for the following: </w:t>
      </w:r>
    </w:p>
    <w:p w14:paraId="562DF894" w14:textId="77777777" w:rsidR="009E158E" w:rsidRPr="009E158E" w:rsidRDefault="009E158E" w:rsidP="009E158E">
      <w:pPr>
        <w:pStyle w:val="NormalWeb"/>
        <w:numPr>
          <w:ilvl w:val="1"/>
          <w:numId w:val="9"/>
        </w:numPr>
        <w:shd w:val="clear" w:color="auto" w:fill="FFFFFF"/>
        <w:rPr>
          <w:rFonts w:ascii="Arial" w:hAnsi="Arial" w:cs="Arial"/>
        </w:rPr>
      </w:pPr>
      <w:r w:rsidRPr="009E158E">
        <w:rPr>
          <w:rFonts w:ascii="Arial" w:hAnsi="Arial" w:cs="Arial"/>
        </w:rPr>
        <w:t xml:space="preserve">Hypertonic hyponatremia </w:t>
      </w:r>
    </w:p>
    <w:p w14:paraId="3CA63C27" w14:textId="77777777" w:rsidR="009E158E" w:rsidRPr="009E158E" w:rsidRDefault="009E158E" w:rsidP="009E158E">
      <w:pPr>
        <w:pStyle w:val="NormalWeb"/>
        <w:numPr>
          <w:ilvl w:val="1"/>
          <w:numId w:val="9"/>
        </w:numPr>
        <w:shd w:val="clear" w:color="auto" w:fill="FFFFFF"/>
        <w:rPr>
          <w:rFonts w:ascii="Arial" w:hAnsi="Arial" w:cs="Arial"/>
        </w:rPr>
      </w:pPr>
      <w:r w:rsidRPr="009E158E">
        <w:rPr>
          <w:rFonts w:ascii="Arial" w:hAnsi="Arial" w:cs="Arial"/>
        </w:rPr>
        <w:t xml:space="preserve">Isotonic hyponatremia </w:t>
      </w:r>
    </w:p>
    <w:p w14:paraId="505E7DB5" w14:textId="77777777" w:rsidR="009E158E" w:rsidRPr="009E158E" w:rsidRDefault="009E158E" w:rsidP="009E158E">
      <w:pPr>
        <w:pStyle w:val="NormalWeb"/>
        <w:numPr>
          <w:ilvl w:val="1"/>
          <w:numId w:val="9"/>
        </w:numPr>
        <w:shd w:val="clear" w:color="auto" w:fill="FFFFFF"/>
        <w:rPr>
          <w:rFonts w:ascii="Arial" w:hAnsi="Arial" w:cs="Arial"/>
        </w:rPr>
      </w:pPr>
      <w:r w:rsidRPr="009E158E">
        <w:rPr>
          <w:rFonts w:ascii="Arial" w:hAnsi="Arial" w:cs="Arial"/>
        </w:rPr>
        <w:t xml:space="preserve">Hypotonic hyponatremia (What is the serum osmolality threshold for this?) </w:t>
      </w:r>
    </w:p>
    <w:p w14:paraId="540964EA"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What is the first step in determining the etiology of a HYPOTONIC hyponatremia? </w:t>
      </w:r>
    </w:p>
    <w:p w14:paraId="18E89EDB" w14:textId="320534E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Describe the urine studies and lab findings (urine osmolality and/or urine sodium) that can help distinguish between the different causes of HYPOTONIC hyponatremia. Know the management of each of these diagnoses. </w:t>
      </w:r>
    </w:p>
    <w:p w14:paraId="6E25F5D2" w14:textId="567AED13"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Describe how to determine the free water deficit in a patient with hypernatremia and how to manage the patient to avoid osmotic demyelination. </w:t>
      </w:r>
    </w:p>
    <w:p w14:paraId="609DC597" w14:textId="77777777" w:rsidR="003B0756" w:rsidRPr="00480716" w:rsidRDefault="003B0756" w:rsidP="003B0756">
      <w:pPr>
        <w:spacing w:before="100" w:beforeAutospacing="1" w:after="100" w:afterAutospacing="1"/>
        <w:rPr>
          <w:rFonts w:ascii="Arial" w:eastAsia="Times New Roman" w:hAnsi="Arial" w:cs="Arial"/>
        </w:rPr>
      </w:pPr>
      <w:r w:rsidRPr="00480716">
        <w:rPr>
          <w:rFonts w:ascii="Arial" w:eastAsia="Times New Roman" w:hAnsi="Arial" w:cs="Arial"/>
          <w:b/>
          <w:bCs/>
        </w:rPr>
        <w:t xml:space="preserve">Urinalysis cases- Dr. Dahl </w:t>
      </w:r>
    </w:p>
    <w:p w14:paraId="1FB21F1A" w14:textId="77777777" w:rsidR="003B0756" w:rsidRPr="00117CEC" w:rsidRDefault="003B0756" w:rsidP="003B0756">
      <w:pPr>
        <w:pStyle w:val="ListParagraph"/>
        <w:numPr>
          <w:ilvl w:val="0"/>
          <w:numId w:val="12"/>
        </w:numPr>
        <w:spacing w:before="100" w:beforeAutospacing="1" w:after="100" w:afterAutospacing="1"/>
        <w:rPr>
          <w:rFonts w:ascii="Arial" w:hAnsi="Arial" w:cs="Arial"/>
        </w:rPr>
      </w:pPr>
      <w:r w:rsidRPr="00117CEC">
        <w:rPr>
          <w:rFonts w:ascii="Arial" w:eastAsia="Times New Roman" w:hAnsi="Arial" w:cs="Arial"/>
        </w:rPr>
        <w:t xml:space="preserve">Describe the appropriate urine specimen collection and storage in ambulatory patients and hospitalized patients with Foley catheters in order to accurately interpret the urinalysis. </w:t>
      </w:r>
    </w:p>
    <w:p w14:paraId="0F5FFBD8" w14:textId="77777777" w:rsidR="003B0756" w:rsidRPr="00117CEC" w:rsidRDefault="003B0756" w:rsidP="003B0756">
      <w:pPr>
        <w:pStyle w:val="NormalWeb"/>
        <w:numPr>
          <w:ilvl w:val="0"/>
          <w:numId w:val="12"/>
        </w:numPr>
        <w:rPr>
          <w:rFonts w:ascii="Arial" w:hAnsi="Arial" w:cs="Arial"/>
        </w:rPr>
      </w:pPr>
      <w:r w:rsidRPr="00117CEC">
        <w:rPr>
          <w:rFonts w:ascii="Arial" w:hAnsi="Arial" w:cs="Arial"/>
        </w:rPr>
        <w:t xml:space="preserve">List the possible causes of urine that is cloudy, orange, brown, or red. </w:t>
      </w:r>
    </w:p>
    <w:p w14:paraId="704D4750" w14:textId="77777777" w:rsidR="003B0756" w:rsidRPr="00117CEC" w:rsidRDefault="003B0756" w:rsidP="003B0756">
      <w:pPr>
        <w:pStyle w:val="NormalWeb"/>
        <w:numPr>
          <w:ilvl w:val="0"/>
          <w:numId w:val="12"/>
        </w:numPr>
        <w:rPr>
          <w:rFonts w:ascii="Arial" w:hAnsi="Arial" w:cs="Arial"/>
        </w:rPr>
      </w:pPr>
      <w:r w:rsidRPr="00117CEC">
        <w:rPr>
          <w:rFonts w:ascii="Arial" w:hAnsi="Arial" w:cs="Arial"/>
        </w:rPr>
        <w:lastRenderedPageBreak/>
        <w:t xml:space="preserve">Complete the urinalysis table: </w:t>
      </w:r>
      <w:r w:rsidRPr="00117CEC">
        <w:rPr>
          <w:rFonts w:ascii="Arial" w:hAnsi="Arial" w:cs="Arial"/>
          <w:noProof/>
        </w:rPr>
        <w:drawing>
          <wp:inline distT="0" distB="0" distL="0" distR="0" wp14:anchorId="575E5DA9" wp14:editId="622E477C">
            <wp:extent cx="5943600" cy="415480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154805"/>
                    </a:xfrm>
                    <a:prstGeom prst="rect">
                      <a:avLst/>
                    </a:prstGeom>
                  </pic:spPr>
                </pic:pic>
              </a:graphicData>
            </a:graphic>
          </wp:inline>
        </w:drawing>
      </w:r>
    </w:p>
    <w:p w14:paraId="5FB5AA97" w14:textId="77777777" w:rsidR="003B0756" w:rsidRPr="00117CEC" w:rsidRDefault="003B0756" w:rsidP="003B0756">
      <w:pPr>
        <w:pStyle w:val="NormalWeb"/>
        <w:numPr>
          <w:ilvl w:val="0"/>
          <w:numId w:val="12"/>
        </w:numPr>
        <w:rPr>
          <w:rFonts w:ascii="Arial" w:hAnsi="Arial" w:cs="Arial"/>
        </w:rPr>
      </w:pPr>
      <w:r w:rsidRPr="00117CEC">
        <w:rPr>
          <w:rFonts w:ascii="Arial" w:hAnsi="Arial" w:cs="Arial"/>
        </w:rPr>
        <w:t xml:space="preserve">Describe the conditions associated with the following urine casts: Hyaline, Erythrocyte, Leukocyte, Epithelial, Granular, Fatty. </w:t>
      </w:r>
    </w:p>
    <w:p w14:paraId="40F5FAE2" w14:textId="77777777" w:rsidR="009E158E" w:rsidRPr="009E158E" w:rsidRDefault="009E158E">
      <w:pPr>
        <w:rPr>
          <w:rFonts w:ascii="Arial" w:hAnsi="Arial" w:cs="Arial"/>
        </w:rPr>
      </w:pPr>
    </w:p>
    <w:sectPr w:rsidR="009E158E" w:rsidRPr="009E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99D"/>
    <w:multiLevelType w:val="multilevel"/>
    <w:tmpl w:val="EBA820E0"/>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20838"/>
    <w:multiLevelType w:val="hybridMultilevel"/>
    <w:tmpl w:val="F998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237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9152DD"/>
    <w:multiLevelType w:val="multilevel"/>
    <w:tmpl w:val="731C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82B09"/>
    <w:multiLevelType w:val="multilevel"/>
    <w:tmpl w:val="7598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357D5"/>
    <w:multiLevelType w:val="multilevel"/>
    <w:tmpl w:val="96609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37F66"/>
    <w:multiLevelType w:val="multilevel"/>
    <w:tmpl w:val="988A68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8028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CF4770"/>
    <w:multiLevelType w:val="multilevel"/>
    <w:tmpl w:val="EBA820E0"/>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73016B"/>
    <w:multiLevelType w:val="multilevel"/>
    <w:tmpl w:val="0892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E168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1F6394"/>
    <w:multiLevelType w:val="multilevel"/>
    <w:tmpl w:val="A74A2C1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0803458">
    <w:abstractNumId w:val="9"/>
  </w:num>
  <w:num w:numId="2" w16cid:durableId="816726493">
    <w:abstractNumId w:val="3"/>
  </w:num>
  <w:num w:numId="3" w16cid:durableId="154954580">
    <w:abstractNumId w:val="5"/>
  </w:num>
  <w:num w:numId="4" w16cid:durableId="1347707281">
    <w:abstractNumId w:val="4"/>
  </w:num>
  <w:num w:numId="5" w16cid:durableId="1201816632">
    <w:abstractNumId w:val="6"/>
  </w:num>
  <w:num w:numId="6" w16cid:durableId="2091147787">
    <w:abstractNumId w:val="11"/>
  </w:num>
  <w:num w:numId="7" w16cid:durableId="1224561618">
    <w:abstractNumId w:val="8"/>
  </w:num>
  <w:num w:numId="8" w16cid:durableId="1746802372">
    <w:abstractNumId w:val="0"/>
  </w:num>
  <w:num w:numId="9" w16cid:durableId="1810131784">
    <w:abstractNumId w:val="10"/>
  </w:num>
  <w:num w:numId="10" w16cid:durableId="789015340">
    <w:abstractNumId w:val="7"/>
  </w:num>
  <w:num w:numId="11" w16cid:durableId="1846968175">
    <w:abstractNumId w:val="2"/>
  </w:num>
  <w:num w:numId="12" w16cid:durableId="469908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8E"/>
    <w:rsid w:val="00396502"/>
    <w:rsid w:val="003B0756"/>
    <w:rsid w:val="007A3C3F"/>
    <w:rsid w:val="009E158E"/>
    <w:rsid w:val="00DC262A"/>
    <w:rsid w:val="00E46053"/>
    <w:rsid w:val="00F5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B8174"/>
  <w15:chartTrackingRefBased/>
  <w15:docId w15:val="{5AB5931A-4D5D-8B4C-BB4A-4AD0E6DC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58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B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5293">
      <w:bodyDiv w:val="1"/>
      <w:marLeft w:val="0"/>
      <w:marRight w:val="0"/>
      <w:marTop w:val="0"/>
      <w:marBottom w:val="0"/>
      <w:divBdr>
        <w:top w:val="none" w:sz="0" w:space="0" w:color="auto"/>
        <w:left w:val="none" w:sz="0" w:space="0" w:color="auto"/>
        <w:bottom w:val="none" w:sz="0" w:space="0" w:color="auto"/>
        <w:right w:val="none" w:sz="0" w:space="0" w:color="auto"/>
      </w:divBdr>
      <w:divsChild>
        <w:div w:id="1075786930">
          <w:marLeft w:val="0"/>
          <w:marRight w:val="0"/>
          <w:marTop w:val="0"/>
          <w:marBottom w:val="0"/>
          <w:divBdr>
            <w:top w:val="none" w:sz="0" w:space="0" w:color="auto"/>
            <w:left w:val="none" w:sz="0" w:space="0" w:color="auto"/>
            <w:bottom w:val="none" w:sz="0" w:space="0" w:color="auto"/>
            <w:right w:val="none" w:sz="0" w:space="0" w:color="auto"/>
          </w:divBdr>
          <w:divsChild>
            <w:div w:id="662927171">
              <w:marLeft w:val="0"/>
              <w:marRight w:val="0"/>
              <w:marTop w:val="0"/>
              <w:marBottom w:val="0"/>
              <w:divBdr>
                <w:top w:val="none" w:sz="0" w:space="0" w:color="auto"/>
                <w:left w:val="none" w:sz="0" w:space="0" w:color="auto"/>
                <w:bottom w:val="none" w:sz="0" w:space="0" w:color="auto"/>
                <w:right w:val="none" w:sz="0" w:space="0" w:color="auto"/>
              </w:divBdr>
              <w:divsChild>
                <w:div w:id="1673415022">
                  <w:marLeft w:val="0"/>
                  <w:marRight w:val="0"/>
                  <w:marTop w:val="0"/>
                  <w:marBottom w:val="0"/>
                  <w:divBdr>
                    <w:top w:val="none" w:sz="0" w:space="0" w:color="auto"/>
                    <w:left w:val="none" w:sz="0" w:space="0" w:color="auto"/>
                    <w:bottom w:val="none" w:sz="0" w:space="0" w:color="auto"/>
                    <w:right w:val="none" w:sz="0" w:space="0" w:color="auto"/>
                  </w:divBdr>
                </w:div>
              </w:divsChild>
            </w:div>
            <w:div w:id="1501002264">
              <w:marLeft w:val="0"/>
              <w:marRight w:val="0"/>
              <w:marTop w:val="0"/>
              <w:marBottom w:val="0"/>
              <w:divBdr>
                <w:top w:val="none" w:sz="0" w:space="0" w:color="auto"/>
                <w:left w:val="none" w:sz="0" w:space="0" w:color="auto"/>
                <w:bottom w:val="none" w:sz="0" w:space="0" w:color="auto"/>
                <w:right w:val="none" w:sz="0" w:space="0" w:color="auto"/>
              </w:divBdr>
              <w:divsChild>
                <w:div w:id="74323373">
                  <w:marLeft w:val="0"/>
                  <w:marRight w:val="0"/>
                  <w:marTop w:val="0"/>
                  <w:marBottom w:val="0"/>
                  <w:divBdr>
                    <w:top w:val="none" w:sz="0" w:space="0" w:color="auto"/>
                    <w:left w:val="none" w:sz="0" w:space="0" w:color="auto"/>
                    <w:bottom w:val="none" w:sz="0" w:space="0" w:color="auto"/>
                    <w:right w:val="none" w:sz="0" w:space="0" w:color="auto"/>
                  </w:divBdr>
                  <w:divsChild>
                    <w:div w:id="376129307">
                      <w:marLeft w:val="0"/>
                      <w:marRight w:val="0"/>
                      <w:marTop w:val="0"/>
                      <w:marBottom w:val="0"/>
                      <w:divBdr>
                        <w:top w:val="none" w:sz="0" w:space="0" w:color="auto"/>
                        <w:left w:val="none" w:sz="0" w:space="0" w:color="auto"/>
                        <w:bottom w:val="none" w:sz="0" w:space="0" w:color="auto"/>
                        <w:right w:val="none" w:sz="0" w:space="0" w:color="auto"/>
                      </w:divBdr>
                      <w:divsChild>
                        <w:div w:id="4589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3430">
                  <w:marLeft w:val="0"/>
                  <w:marRight w:val="0"/>
                  <w:marTop w:val="0"/>
                  <w:marBottom w:val="0"/>
                  <w:divBdr>
                    <w:top w:val="none" w:sz="0" w:space="0" w:color="auto"/>
                    <w:left w:val="none" w:sz="0" w:space="0" w:color="auto"/>
                    <w:bottom w:val="none" w:sz="0" w:space="0" w:color="auto"/>
                    <w:right w:val="none" w:sz="0" w:space="0" w:color="auto"/>
                  </w:divBdr>
                  <w:divsChild>
                    <w:div w:id="1566992615">
                      <w:marLeft w:val="0"/>
                      <w:marRight w:val="0"/>
                      <w:marTop w:val="0"/>
                      <w:marBottom w:val="0"/>
                      <w:divBdr>
                        <w:top w:val="none" w:sz="0" w:space="0" w:color="auto"/>
                        <w:left w:val="none" w:sz="0" w:space="0" w:color="auto"/>
                        <w:bottom w:val="none" w:sz="0" w:space="0" w:color="auto"/>
                        <w:right w:val="none" w:sz="0" w:space="0" w:color="auto"/>
                      </w:divBdr>
                      <w:divsChild>
                        <w:div w:id="3282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4736">
                  <w:marLeft w:val="0"/>
                  <w:marRight w:val="0"/>
                  <w:marTop w:val="0"/>
                  <w:marBottom w:val="0"/>
                  <w:divBdr>
                    <w:top w:val="none" w:sz="0" w:space="0" w:color="auto"/>
                    <w:left w:val="none" w:sz="0" w:space="0" w:color="auto"/>
                    <w:bottom w:val="none" w:sz="0" w:space="0" w:color="auto"/>
                    <w:right w:val="none" w:sz="0" w:space="0" w:color="auto"/>
                  </w:divBdr>
                  <w:divsChild>
                    <w:div w:id="921523888">
                      <w:marLeft w:val="0"/>
                      <w:marRight w:val="0"/>
                      <w:marTop w:val="0"/>
                      <w:marBottom w:val="0"/>
                      <w:divBdr>
                        <w:top w:val="none" w:sz="0" w:space="0" w:color="auto"/>
                        <w:left w:val="none" w:sz="0" w:space="0" w:color="auto"/>
                        <w:bottom w:val="none" w:sz="0" w:space="0" w:color="auto"/>
                        <w:right w:val="none" w:sz="0" w:space="0" w:color="auto"/>
                      </w:divBdr>
                      <w:divsChild>
                        <w:div w:id="19969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77216">
              <w:marLeft w:val="0"/>
              <w:marRight w:val="0"/>
              <w:marTop w:val="0"/>
              <w:marBottom w:val="0"/>
              <w:divBdr>
                <w:top w:val="none" w:sz="0" w:space="0" w:color="auto"/>
                <w:left w:val="none" w:sz="0" w:space="0" w:color="auto"/>
                <w:bottom w:val="none" w:sz="0" w:space="0" w:color="auto"/>
                <w:right w:val="none" w:sz="0" w:space="0" w:color="auto"/>
              </w:divBdr>
              <w:divsChild>
                <w:div w:id="1094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6952">
      <w:bodyDiv w:val="1"/>
      <w:marLeft w:val="0"/>
      <w:marRight w:val="0"/>
      <w:marTop w:val="0"/>
      <w:marBottom w:val="0"/>
      <w:divBdr>
        <w:top w:val="none" w:sz="0" w:space="0" w:color="auto"/>
        <w:left w:val="none" w:sz="0" w:space="0" w:color="auto"/>
        <w:bottom w:val="none" w:sz="0" w:space="0" w:color="auto"/>
        <w:right w:val="none" w:sz="0" w:space="0" w:color="auto"/>
      </w:divBdr>
      <w:divsChild>
        <w:div w:id="604919509">
          <w:marLeft w:val="0"/>
          <w:marRight w:val="0"/>
          <w:marTop w:val="0"/>
          <w:marBottom w:val="0"/>
          <w:divBdr>
            <w:top w:val="none" w:sz="0" w:space="0" w:color="auto"/>
            <w:left w:val="none" w:sz="0" w:space="0" w:color="auto"/>
            <w:bottom w:val="none" w:sz="0" w:space="0" w:color="auto"/>
            <w:right w:val="none" w:sz="0" w:space="0" w:color="auto"/>
          </w:divBdr>
          <w:divsChild>
            <w:div w:id="940527409">
              <w:marLeft w:val="0"/>
              <w:marRight w:val="0"/>
              <w:marTop w:val="0"/>
              <w:marBottom w:val="0"/>
              <w:divBdr>
                <w:top w:val="none" w:sz="0" w:space="0" w:color="auto"/>
                <w:left w:val="none" w:sz="0" w:space="0" w:color="auto"/>
                <w:bottom w:val="none" w:sz="0" w:space="0" w:color="auto"/>
                <w:right w:val="none" w:sz="0" w:space="0" w:color="auto"/>
              </w:divBdr>
              <w:divsChild>
                <w:div w:id="19146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Young</dc:creator>
  <cp:keywords/>
  <dc:description/>
  <cp:lastModifiedBy>Kristen Young</cp:lastModifiedBy>
  <cp:revision>4</cp:revision>
  <dcterms:created xsi:type="dcterms:W3CDTF">2024-01-02T23:05:00Z</dcterms:created>
  <dcterms:modified xsi:type="dcterms:W3CDTF">2024-01-03T21:49:00Z</dcterms:modified>
</cp:coreProperties>
</file>