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B921" w14:textId="397DBF6B" w:rsidR="00117CEC" w:rsidRDefault="00480716" w:rsidP="00117CEC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  <w:r w:rsidRPr="00117CEC">
        <w:rPr>
          <w:rFonts w:ascii="Arial" w:eastAsia="Times New Roman" w:hAnsi="Arial" w:cs="Arial"/>
          <w:b/>
          <w:bCs/>
        </w:rPr>
        <w:t xml:space="preserve">January </w:t>
      </w:r>
      <w:r w:rsidR="0017249C">
        <w:rPr>
          <w:rFonts w:ascii="Arial" w:eastAsia="Times New Roman" w:hAnsi="Arial" w:cs="Arial"/>
          <w:b/>
          <w:bCs/>
        </w:rPr>
        <w:t>16</w:t>
      </w:r>
      <w:r w:rsidRPr="00117CEC">
        <w:rPr>
          <w:rFonts w:ascii="Arial" w:eastAsia="Times New Roman" w:hAnsi="Arial" w:cs="Arial"/>
          <w:b/>
          <w:bCs/>
        </w:rPr>
        <w:t>, 202</w:t>
      </w:r>
      <w:r w:rsidR="00D273CD">
        <w:rPr>
          <w:rFonts w:ascii="Arial" w:eastAsia="Times New Roman" w:hAnsi="Arial" w:cs="Arial"/>
          <w:b/>
          <w:bCs/>
        </w:rPr>
        <w:t xml:space="preserve">4 </w:t>
      </w:r>
    </w:p>
    <w:p w14:paraId="7E5D93E3" w14:textId="77777777" w:rsidR="00470143" w:rsidRDefault="00117CEC" w:rsidP="0047014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AHD </w:t>
      </w:r>
      <w:r w:rsidR="00480716" w:rsidRPr="00117CEC">
        <w:rPr>
          <w:rFonts w:ascii="Arial" w:eastAsia="Times New Roman" w:hAnsi="Arial" w:cs="Arial"/>
          <w:b/>
          <w:bCs/>
        </w:rPr>
        <w:t>Objectives</w:t>
      </w:r>
    </w:p>
    <w:p w14:paraId="6E512232" w14:textId="77777777" w:rsidR="00470143" w:rsidRDefault="00470143" w:rsidP="0047014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</w:p>
    <w:p w14:paraId="63321EDE" w14:textId="66FF61A0" w:rsidR="00117CEC" w:rsidRPr="00470143" w:rsidRDefault="00117CEC" w:rsidP="00470143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117CEC">
        <w:rPr>
          <w:rFonts w:ascii="Arial" w:hAnsi="Arial" w:cs="Arial"/>
          <w:b/>
          <w:bCs/>
        </w:rPr>
        <w:t xml:space="preserve">Hypertension – Dr. Dahl </w:t>
      </w:r>
    </w:p>
    <w:p w14:paraId="14D70E15" w14:textId="77777777" w:rsidR="00117CEC" w:rsidRPr="00117CEC" w:rsidRDefault="00117CEC" w:rsidP="00117CEC">
      <w:pPr>
        <w:pStyle w:val="NormalWeb"/>
        <w:numPr>
          <w:ilvl w:val="0"/>
          <w:numId w:val="10"/>
        </w:numPr>
        <w:rPr>
          <w:rFonts w:ascii="Arial" w:hAnsi="Arial" w:cs="Arial"/>
        </w:rPr>
      </w:pPr>
      <w:r w:rsidRPr="00117CEC">
        <w:rPr>
          <w:rFonts w:ascii="Arial" w:hAnsi="Arial" w:cs="Arial"/>
        </w:rPr>
        <w:t xml:space="preserve">Define normal blood pressure, pre-hypertension, stage 1 and stage 2 hypertension. Describe the end-organ injuries that occur due to long-standing hypertension. </w:t>
      </w:r>
    </w:p>
    <w:p w14:paraId="1943F088" w14:textId="77777777" w:rsidR="00117CEC" w:rsidRPr="00117CEC" w:rsidRDefault="00117CEC" w:rsidP="00117CEC">
      <w:pPr>
        <w:pStyle w:val="NormalWeb"/>
        <w:numPr>
          <w:ilvl w:val="0"/>
          <w:numId w:val="10"/>
        </w:numPr>
        <w:rPr>
          <w:rFonts w:ascii="Arial" w:hAnsi="Arial" w:cs="Arial"/>
        </w:rPr>
      </w:pPr>
      <w:r w:rsidRPr="00117CEC">
        <w:rPr>
          <w:rFonts w:ascii="Arial" w:hAnsi="Arial" w:cs="Arial"/>
        </w:rPr>
        <w:t xml:space="preserve">Describe the patient(s) who should be evaluated for secondary causes of hypertension and the preferred diagnostic strategy for each identifiable cause. </w:t>
      </w:r>
    </w:p>
    <w:p w14:paraId="5E6F4E06" w14:textId="77777777" w:rsidR="00117CEC" w:rsidRPr="00117CEC" w:rsidRDefault="00117CEC" w:rsidP="00117CEC">
      <w:pPr>
        <w:pStyle w:val="NormalWeb"/>
        <w:numPr>
          <w:ilvl w:val="0"/>
          <w:numId w:val="10"/>
        </w:numPr>
        <w:rPr>
          <w:rFonts w:ascii="Arial" w:hAnsi="Arial" w:cs="Arial"/>
        </w:rPr>
      </w:pPr>
      <w:r w:rsidRPr="00117CEC">
        <w:rPr>
          <w:rFonts w:ascii="Arial" w:hAnsi="Arial" w:cs="Arial"/>
        </w:rPr>
        <w:t xml:space="preserve">Identify the medications which are first-line anti-hypertensives for non-black patients and black patients </w:t>
      </w:r>
      <w:r w:rsidRPr="00117CEC">
        <w:rPr>
          <w:rFonts w:ascii="Arial" w:hAnsi="Arial" w:cs="Arial"/>
          <w:i/>
          <w:iCs/>
        </w:rPr>
        <w:t xml:space="preserve">without </w:t>
      </w:r>
      <w:r w:rsidRPr="00117CEC">
        <w:rPr>
          <w:rFonts w:ascii="Arial" w:hAnsi="Arial" w:cs="Arial"/>
        </w:rPr>
        <w:t xml:space="preserve">DM and CKD and </w:t>
      </w:r>
      <w:r w:rsidRPr="00117CEC">
        <w:rPr>
          <w:rFonts w:ascii="Arial" w:hAnsi="Arial" w:cs="Arial"/>
          <w:i/>
          <w:iCs/>
        </w:rPr>
        <w:t xml:space="preserve">with </w:t>
      </w:r>
      <w:r w:rsidRPr="00117CEC">
        <w:rPr>
          <w:rFonts w:ascii="Arial" w:hAnsi="Arial" w:cs="Arial"/>
        </w:rPr>
        <w:t xml:space="preserve">DM and CKD. </w:t>
      </w:r>
    </w:p>
    <w:p w14:paraId="6F1113FE" w14:textId="77777777" w:rsidR="00117CEC" w:rsidRPr="00117CEC" w:rsidRDefault="00117CEC" w:rsidP="00117CEC">
      <w:pPr>
        <w:pStyle w:val="NormalWeb"/>
        <w:numPr>
          <w:ilvl w:val="0"/>
          <w:numId w:val="10"/>
        </w:numPr>
        <w:rPr>
          <w:rFonts w:ascii="Arial" w:hAnsi="Arial" w:cs="Arial"/>
        </w:rPr>
      </w:pPr>
      <w:r w:rsidRPr="00117CEC">
        <w:rPr>
          <w:rFonts w:ascii="Arial" w:hAnsi="Arial" w:cs="Arial"/>
        </w:rPr>
        <w:t xml:space="preserve">Identify the BP targets for patients aged ≥ 60 years old, &lt; 60 years old, patients with chronic kidney disease and patients with diabetes. </w:t>
      </w:r>
    </w:p>
    <w:p w14:paraId="7D38F2FA" w14:textId="77777777" w:rsidR="00117CEC" w:rsidRDefault="00117CEC" w:rsidP="00117CEC">
      <w:pPr>
        <w:pStyle w:val="NormalWeb"/>
        <w:numPr>
          <w:ilvl w:val="0"/>
          <w:numId w:val="10"/>
        </w:numPr>
        <w:rPr>
          <w:rFonts w:ascii="Arial" w:hAnsi="Arial" w:cs="Arial"/>
        </w:rPr>
      </w:pPr>
      <w:r w:rsidRPr="00117CEC">
        <w:rPr>
          <w:rFonts w:ascii="Arial" w:hAnsi="Arial" w:cs="Arial"/>
        </w:rPr>
        <w:t xml:space="preserve">Define hypertensive urgency and emergency and the indications for admission to the hospital and ICU treatments. </w:t>
      </w:r>
    </w:p>
    <w:p w14:paraId="56E2887B" w14:textId="23407E3B" w:rsidR="00D273CD" w:rsidRPr="00D273CD" w:rsidRDefault="00D273CD" w:rsidP="00D273CD">
      <w:pPr>
        <w:pStyle w:val="NormalWeb"/>
        <w:rPr>
          <w:rFonts w:ascii="Arial" w:hAnsi="Arial" w:cs="Arial"/>
          <w:b/>
          <w:bCs/>
        </w:rPr>
      </w:pPr>
      <w:r w:rsidRPr="00D273CD">
        <w:rPr>
          <w:rFonts w:ascii="Arial" w:hAnsi="Arial" w:cs="Arial"/>
          <w:b/>
          <w:bCs/>
        </w:rPr>
        <w:t>CKD</w:t>
      </w:r>
      <w:r>
        <w:rPr>
          <w:rFonts w:ascii="Arial" w:hAnsi="Arial" w:cs="Arial"/>
          <w:b/>
          <w:bCs/>
        </w:rPr>
        <w:t xml:space="preserve"> – Dr. Dahl </w:t>
      </w:r>
    </w:p>
    <w:p w14:paraId="4B9AC846" w14:textId="77777777" w:rsidR="00D273CD" w:rsidRPr="00D273CD" w:rsidRDefault="00D273CD" w:rsidP="00D273CD">
      <w:pPr>
        <w:pStyle w:val="NormalWeb"/>
        <w:rPr>
          <w:rFonts w:ascii="Arial" w:hAnsi="Arial" w:cs="Arial"/>
        </w:rPr>
      </w:pPr>
      <w:r w:rsidRPr="00D273CD">
        <w:rPr>
          <w:rFonts w:ascii="Arial" w:hAnsi="Arial" w:cs="Arial"/>
        </w:rPr>
        <w:t>1. Define chronic kidney disease. Define the 5 stages of CKD according to the National Kidney Foundation, and define the KDIGO staging system for CKD based on albuminuria and GFR.</w:t>
      </w:r>
    </w:p>
    <w:p w14:paraId="07AFF804" w14:textId="77777777" w:rsidR="00D273CD" w:rsidRPr="00D273CD" w:rsidRDefault="00D273CD" w:rsidP="00D273CD">
      <w:pPr>
        <w:pStyle w:val="NormalWeb"/>
        <w:rPr>
          <w:rFonts w:ascii="Arial" w:hAnsi="Arial" w:cs="Arial"/>
        </w:rPr>
      </w:pPr>
      <w:r w:rsidRPr="00D273CD">
        <w:rPr>
          <w:rFonts w:ascii="Arial" w:hAnsi="Arial" w:cs="Arial"/>
        </w:rPr>
        <w:t>2. When should a patient with CKD be referred to a nephrologist? Explain the reasons for this.</w:t>
      </w:r>
    </w:p>
    <w:p w14:paraId="45C7336D" w14:textId="70733EF8" w:rsidR="00D273CD" w:rsidRPr="00D273CD" w:rsidRDefault="00D273CD" w:rsidP="00D273CD">
      <w:pPr>
        <w:pStyle w:val="NormalWeb"/>
        <w:rPr>
          <w:rFonts w:ascii="Arial" w:hAnsi="Arial" w:cs="Arial"/>
        </w:rPr>
      </w:pPr>
      <w:r w:rsidRPr="00D273CD">
        <w:rPr>
          <w:rFonts w:ascii="Arial" w:hAnsi="Arial" w:cs="Arial"/>
        </w:rPr>
        <w:t>3. Describe some of the diseases of other organ systems associated with CKD. What is the</w:t>
      </w:r>
      <w:r>
        <w:rPr>
          <w:rFonts w:ascii="Arial" w:hAnsi="Arial" w:cs="Arial"/>
        </w:rPr>
        <w:t xml:space="preserve"> </w:t>
      </w:r>
      <w:r w:rsidRPr="00D273CD">
        <w:rPr>
          <w:rFonts w:ascii="Arial" w:hAnsi="Arial" w:cs="Arial"/>
        </w:rPr>
        <w:t>most common cause of death in patients with CKD?</w:t>
      </w:r>
    </w:p>
    <w:p w14:paraId="060CAE80" w14:textId="77777777" w:rsidR="00D273CD" w:rsidRPr="00D273CD" w:rsidRDefault="00D273CD" w:rsidP="00D273CD">
      <w:pPr>
        <w:pStyle w:val="NormalWeb"/>
        <w:rPr>
          <w:rFonts w:ascii="Arial" w:hAnsi="Arial" w:cs="Arial"/>
        </w:rPr>
      </w:pPr>
      <w:r w:rsidRPr="00D273CD">
        <w:rPr>
          <w:rFonts w:ascii="Arial" w:hAnsi="Arial" w:cs="Arial"/>
        </w:rPr>
        <w:t>4. Know the medications that CKD patients should avoid to prevent worsening of renal function.</w:t>
      </w:r>
    </w:p>
    <w:p w14:paraId="1CE8A267" w14:textId="0B9655FC" w:rsidR="00D273CD" w:rsidRPr="00D273CD" w:rsidRDefault="00D273CD" w:rsidP="00D273CD">
      <w:pPr>
        <w:pStyle w:val="NormalWeb"/>
        <w:rPr>
          <w:rFonts w:ascii="Arial" w:hAnsi="Arial" w:cs="Arial"/>
        </w:rPr>
      </w:pPr>
      <w:r w:rsidRPr="00D273CD">
        <w:rPr>
          <w:rFonts w:ascii="Arial" w:hAnsi="Arial" w:cs="Arial"/>
        </w:rPr>
        <w:t>5. Know the indication for ACEI and ARB medications for the treatment of proteinuria and blood</w:t>
      </w:r>
      <w:r>
        <w:rPr>
          <w:rFonts w:ascii="Arial" w:hAnsi="Arial" w:cs="Arial"/>
        </w:rPr>
        <w:t xml:space="preserve"> </w:t>
      </w:r>
      <w:r w:rsidRPr="00D273CD">
        <w:rPr>
          <w:rFonts w:ascii="Arial" w:hAnsi="Arial" w:cs="Arial"/>
        </w:rPr>
        <w:t>pressure goals for patients with CKD.</w:t>
      </w:r>
    </w:p>
    <w:p w14:paraId="75832305" w14:textId="7E0FAABB" w:rsidR="00D273CD" w:rsidRPr="00D273CD" w:rsidRDefault="00D273CD" w:rsidP="00D273CD">
      <w:pPr>
        <w:pStyle w:val="NormalWeb"/>
        <w:rPr>
          <w:rFonts w:ascii="Arial" w:hAnsi="Arial" w:cs="Arial"/>
        </w:rPr>
      </w:pPr>
      <w:r w:rsidRPr="00D273CD">
        <w:rPr>
          <w:rFonts w:ascii="Arial" w:hAnsi="Arial" w:cs="Arial"/>
        </w:rPr>
        <w:t>6. Understand the risks of hyperphosphatemia, its management, and goal levels in patients with</w:t>
      </w:r>
      <w:r>
        <w:rPr>
          <w:rFonts w:ascii="Arial" w:hAnsi="Arial" w:cs="Arial"/>
        </w:rPr>
        <w:t xml:space="preserve"> </w:t>
      </w:r>
      <w:r w:rsidRPr="00D273CD">
        <w:rPr>
          <w:rFonts w:ascii="Arial" w:hAnsi="Arial" w:cs="Arial"/>
        </w:rPr>
        <w:t>CKD.</w:t>
      </w:r>
    </w:p>
    <w:p w14:paraId="28E448D0" w14:textId="71948DE9" w:rsidR="00D273CD" w:rsidRPr="00D273CD" w:rsidRDefault="00D273CD" w:rsidP="00D273CD">
      <w:pPr>
        <w:pStyle w:val="NormalWeb"/>
        <w:rPr>
          <w:rFonts w:ascii="Arial" w:hAnsi="Arial" w:cs="Arial"/>
        </w:rPr>
      </w:pPr>
      <w:r w:rsidRPr="00D273CD">
        <w:rPr>
          <w:rFonts w:ascii="Arial" w:hAnsi="Arial" w:cs="Arial"/>
        </w:rPr>
        <w:t>7. Describe the KDIGO guidelines for goal transferrin saturation, ferritin level, and hemoglobin in</w:t>
      </w:r>
      <w:r>
        <w:rPr>
          <w:rFonts w:ascii="Arial" w:hAnsi="Arial" w:cs="Arial"/>
        </w:rPr>
        <w:t xml:space="preserve"> </w:t>
      </w:r>
      <w:r w:rsidRPr="00D273CD">
        <w:rPr>
          <w:rFonts w:ascii="Arial" w:hAnsi="Arial" w:cs="Arial"/>
        </w:rPr>
        <w:t>patients with CKD.</w:t>
      </w:r>
    </w:p>
    <w:p w14:paraId="44E5F57D" w14:textId="58CA1ABE" w:rsidR="00D273CD" w:rsidRPr="00117CEC" w:rsidRDefault="00D273CD" w:rsidP="00D273CD">
      <w:pPr>
        <w:pStyle w:val="NormalWeb"/>
        <w:rPr>
          <w:rFonts w:ascii="Arial" w:hAnsi="Arial" w:cs="Arial"/>
        </w:rPr>
      </w:pPr>
      <w:r w:rsidRPr="00D273CD">
        <w:rPr>
          <w:rFonts w:ascii="Arial" w:hAnsi="Arial" w:cs="Arial"/>
        </w:rPr>
        <w:t>8. What is the goal serum bicarbonate level in CKD patients?</w:t>
      </w:r>
    </w:p>
    <w:p w14:paraId="611F0F20" w14:textId="221F7732" w:rsidR="00396502" w:rsidRPr="00117CEC" w:rsidRDefault="00396502" w:rsidP="00480716">
      <w:pPr>
        <w:rPr>
          <w:rFonts w:ascii="Arial" w:hAnsi="Arial" w:cs="Arial"/>
        </w:rPr>
      </w:pPr>
    </w:p>
    <w:sectPr w:rsidR="00396502" w:rsidRPr="0011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2DB"/>
    <w:multiLevelType w:val="multilevel"/>
    <w:tmpl w:val="A732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20838"/>
    <w:multiLevelType w:val="hybridMultilevel"/>
    <w:tmpl w:val="F998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77A"/>
    <w:multiLevelType w:val="multilevel"/>
    <w:tmpl w:val="9EA0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D533F8"/>
    <w:multiLevelType w:val="multilevel"/>
    <w:tmpl w:val="EF88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1055DA"/>
    <w:multiLevelType w:val="multilevel"/>
    <w:tmpl w:val="A5C4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4655C"/>
    <w:multiLevelType w:val="multilevel"/>
    <w:tmpl w:val="82988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2D2F61"/>
    <w:multiLevelType w:val="multilevel"/>
    <w:tmpl w:val="8C0E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317ADF"/>
    <w:multiLevelType w:val="multilevel"/>
    <w:tmpl w:val="2A40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72890"/>
    <w:multiLevelType w:val="hybridMultilevel"/>
    <w:tmpl w:val="8B084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1377F"/>
    <w:multiLevelType w:val="multilevel"/>
    <w:tmpl w:val="61D4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6136016">
    <w:abstractNumId w:val="2"/>
  </w:num>
  <w:num w:numId="2" w16cid:durableId="928273888">
    <w:abstractNumId w:val="6"/>
  </w:num>
  <w:num w:numId="3" w16cid:durableId="1464156066">
    <w:abstractNumId w:val="7"/>
  </w:num>
  <w:num w:numId="4" w16cid:durableId="1906990182">
    <w:abstractNumId w:val="4"/>
  </w:num>
  <w:num w:numId="5" w16cid:durableId="1936934615">
    <w:abstractNumId w:val="3"/>
  </w:num>
  <w:num w:numId="6" w16cid:durableId="1279680447">
    <w:abstractNumId w:val="8"/>
  </w:num>
  <w:num w:numId="7" w16cid:durableId="538788566">
    <w:abstractNumId w:val="0"/>
  </w:num>
  <w:num w:numId="8" w16cid:durableId="469908674">
    <w:abstractNumId w:val="1"/>
  </w:num>
  <w:num w:numId="9" w16cid:durableId="1466267068">
    <w:abstractNumId w:val="5"/>
  </w:num>
  <w:num w:numId="10" w16cid:durableId="905862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6"/>
    <w:rsid w:val="00117CEC"/>
    <w:rsid w:val="0017249C"/>
    <w:rsid w:val="00396502"/>
    <w:rsid w:val="00470143"/>
    <w:rsid w:val="00480716"/>
    <w:rsid w:val="007A3C3F"/>
    <w:rsid w:val="00D273CD"/>
    <w:rsid w:val="00D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58E9B"/>
  <w15:chartTrackingRefBased/>
  <w15:docId w15:val="{23E18702-7AB1-2B4F-BC4D-5CACACC6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7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8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9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8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Young</dc:creator>
  <cp:keywords/>
  <dc:description/>
  <cp:lastModifiedBy>Kristen Young</cp:lastModifiedBy>
  <cp:revision>4</cp:revision>
  <dcterms:created xsi:type="dcterms:W3CDTF">2024-01-02T23:03:00Z</dcterms:created>
  <dcterms:modified xsi:type="dcterms:W3CDTF">2024-01-11T21:39:00Z</dcterms:modified>
</cp:coreProperties>
</file>