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69EC" w14:textId="0A706E98" w:rsidR="00D11388" w:rsidRPr="00D11388" w:rsidRDefault="00D11388">
      <w:pPr>
        <w:rPr>
          <w:sz w:val="22"/>
          <w:szCs w:val="22"/>
        </w:rPr>
      </w:pPr>
      <w:r w:rsidRPr="00D11388">
        <w:rPr>
          <w:sz w:val="22"/>
          <w:szCs w:val="22"/>
        </w:rPr>
        <w:t>1/13</w:t>
      </w:r>
    </w:p>
    <w:p w14:paraId="02F353B3" w14:textId="1F2BEFB6" w:rsidR="00D11388" w:rsidRPr="00D11388" w:rsidRDefault="00D11388">
      <w:pPr>
        <w:rPr>
          <w:sz w:val="22"/>
          <w:szCs w:val="22"/>
        </w:rPr>
      </w:pPr>
      <w:r w:rsidRPr="00D11388">
        <w:rPr>
          <w:sz w:val="22"/>
          <w:szCs w:val="22"/>
        </w:rPr>
        <w:t>9:30 - 10:15 - Dr. Alameri, biliary and cholestatic disorders</w:t>
      </w:r>
    </w:p>
    <w:p w14:paraId="06281D7B" w14:textId="77777777" w:rsidR="00D11388" w:rsidRPr="00D11388" w:rsidRDefault="00D11388" w:rsidP="00D11388">
      <w:pPr>
        <w:pStyle w:val="ListParagraph"/>
        <w:numPr>
          <w:ilvl w:val="0"/>
          <w:numId w:val="4"/>
        </w:numPr>
        <w:spacing w:after="0" w:line="240" w:lineRule="auto"/>
        <w:rPr>
          <w:rFonts w:eastAsia="Times New Roman" w:cs="Times New Roman"/>
          <w:sz w:val="22"/>
          <w:szCs w:val="22"/>
        </w:rPr>
      </w:pPr>
      <w:r w:rsidRPr="00D11388">
        <w:rPr>
          <w:rFonts w:eastAsia="Times New Roman" w:cs="Times New Roman"/>
          <w:sz w:val="22"/>
          <w:szCs w:val="22"/>
        </w:rPr>
        <w:t>Distinguish between the clinical signs and symptoms and laboratory values of the following presentations:</w:t>
      </w:r>
    </w:p>
    <w:p w14:paraId="4BFFA444" w14:textId="77777777" w:rsidR="00D11388" w:rsidRPr="00D11388" w:rsidRDefault="00D11388" w:rsidP="00D11388">
      <w:pPr>
        <w:pStyle w:val="ListParagraph"/>
        <w:numPr>
          <w:ilvl w:val="1"/>
          <w:numId w:val="4"/>
        </w:numPr>
        <w:spacing w:after="0" w:line="240" w:lineRule="auto"/>
        <w:rPr>
          <w:rFonts w:eastAsia="Times New Roman" w:cs="Times New Roman"/>
          <w:sz w:val="22"/>
          <w:szCs w:val="22"/>
        </w:rPr>
      </w:pPr>
      <w:r w:rsidRPr="00D11388">
        <w:rPr>
          <w:rFonts w:eastAsia="Times New Roman" w:cs="Times New Roman"/>
          <w:sz w:val="22"/>
          <w:szCs w:val="22"/>
        </w:rPr>
        <w:t>Biliary colic</w:t>
      </w:r>
    </w:p>
    <w:p w14:paraId="294DA177" w14:textId="77777777" w:rsidR="00D11388" w:rsidRPr="00D11388" w:rsidRDefault="00D11388" w:rsidP="00D11388">
      <w:pPr>
        <w:pStyle w:val="ListParagraph"/>
        <w:numPr>
          <w:ilvl w:val="1"/>
          <w:numId w:val="4"/>
        </w:numPr>
        <w:spacing w:after="0" w:line="240" w:lineRule="auto"/>
        <w:rPr>
          <w:rFonts w:eastAsia="Times New Roman" w:cs="Times New Roman"/>
          <w:sz w:val="22"/>
          <w:szCs w:val="22"/>
        </w:rPr>
      </w:pPr>
      <w:r w:rsidRPr="00D11388">
        <w:rPr>
          <w:rFonts w:eastAsia="Times New Roman" w:cs="Times New Roman"/>
          <w:sz w:val="22"/>
          <w:szCs w:val="22"/>
        </w:rPr>
        <w:t>Acute cholecystitis</w:t>
      </w:r>
    </w:p>
    <w:p w14:paraId="22382720" w14:textId="77777777" w:rsidR="00D11388" w:rsidRPr="00D11388" w:rsidRDefault="00D11388" w:rsidP="00D11388">
      <w:pPr>
        <w:pStyle w:val="ListParagraph"/>
        <w:numPr>
          <w:ilvl w:val="1"/>
          <w:numId w:val="4"/>
        </w:numPr>
        <w:spacing w:after="0" w:line="240" w:lineRule="auto"/>
        <w:rPr>
          <w:rFonts w:eastAsia="Times New Roman" w:cs="Times New Roman"/>
          <w:sz w:val="22"/>
          <w:szCs w:val="22"/>
        </w:rPr>
      </w:pPr>
      <w:r w:rsidRPr="00D11388">
        <w:rPr>
          <w:rFonts w:eastAsia="Times New Roman" w:cs="Times New Roman"/>
          <w:sz w:val="22"/>
          <w:szCs w:val="22"/>
        </w:rPr>
        <w:t>Ascending cholangitis</w:t>
      </w:r>
    </w:p>
    <w:p w14:paraId="79BF2438" w14:textId="4AD9B21B" w:rsidR="00D11388" w:rsidRPr="00D11388" w:rsidRDefault="00D11388" w:rsidP="00D11388">
      <w:pPr>
        <w:pStyle w:val="ListParagraph"/>
        <w:numPr>
          <w:ilvl w:val="1"/>
          <w:numId w:val="4"/>
        </w:numPr>
        <w:spacing w:after="0" w:line="240" w:lineRule="auto"/>
        <w:rPr>
          <w:rFonts w:eastAsia="Times New Roman" w:cs="Times New Roman"/>
          <w:sz w:val="22"/>
          <w:szCs w:val="22"/>
        </w:rPr>
      </w:pPr>
      <w:r w:rsidRPr="00D11388">
        <w:rPr>
          <w:rFonts w:eastAsia="Times New Roman" w:cs="Times New Roman"/>
          <w:sz w:val="22"/>
          <w:szCs w:val="22"/>
        </w:rPr>
        <w:t>Gallstone pancreatitis</w:t>
      </w:r>
    </w:p>
    <w:p w14:paraId="34DD7A92" w14:textId="77777777" w:rsidR="00D11388" w:rsidRPr="00D11388" w:rsidRDefault="00D11388" w:rsidP="00D11388">
      <w:pPr>
        <w:pStyle w:val="ListParagraph"/>
        <w:numPr>
          <w:ilvl w:val="0"/>
          <w:numId w:val="4"/>
        </w:numPr>
        <w:spacing w:after="0" w:line="240" w:lineRule="auto"/>
        <w:rPr>
          <w:rFonts w:eastAsia="Times New Roman" w:cs="Times New Roman"/>
          <w:sz w:val="22"/>
          <w:szCs w:val="22"/>
        </w:rPr>
      </w:pPr>
      <w:r w:rsidRPr="00D11388">
        <w:rPr>
          <w:rFonts w:eastAsia="Times New Roman" w:cs="Times New Roman"/>
          <w:sz w:val="22"/>
          <w:szCs w:val="22"/>
        </w:rPr>
        <w:t>Describe the sensitivity and specificity of the following imaging tests for acute cholecystitis and choledocholithiasis:</w:t>
      </w:r>
    </w:p>
    <w:p w14:paraId="2FB4010A" w14:textId="77777777" w:rsidR="00D11388" w:rsidRPr="00D11388" w:rsidRDefault="00D11388" w:rsidP="00D11388">
      <w:pPr>
        <w:pStyle w:val="ListParagraph"/>
        <w:numPr>
          <w:ilvl w:val="1"/>
          <w:numId w:val="4"/>
        </w:numPr>
        <w:spacing w:after="0" w:line="240" w:lineRule="auto"/>
        <w:rPr>
          <w:rFonts w:eastAsia="Times New Roman" w:cs="Times New Roman"/>
          <w:sz w:val="22"/>
          <w:szCs w:val="22"/>
        </w:rPr>
      </w:pPr>
      <w:r w:rsidRPr="00D11388">
        <w:rPr>
          <w:rFonts w:eastAsia="Times New Roman" w:cs="Times New Roman"/>
          <w:sz w:val="22"/>
          <w:szCs w:val="22"/>
        </w:rPr>
        <w:t xml:space="preserve">Ultrasound </w:t>
      </w:r>
    </w:p>
    <w:p w14:paraId="2798B9D8" w14:textId="77777777" w:rsidR="00D11388" w:rsidRPr="00D11388" w:rsidRDefault="00D11388" w:rsidP="00D11388">
      <w:pPr>
        <w:pStyle w:val="ListParagraph"/>
        <w:numPr>
          <w:ilvl w:val="1"/>
          <w:numId w:val="4"/>
        </w:numPr>
        <w:spacing w:after="0" w:line="240" w:lineRule="auto"/>
        <w:rPr>
          <w:rFonts w:eastAsia="Times New Roman" w:cs="Times New Roman"/>
          <w:sz w:val="22"/>
          <w:szCs w:val="22"/>
        </w:rPr>
      </w:pPr>
      <w:r w:rsidRPr="00D11388">
        <w:rPr>
          <w:rFonts w:eastAsia="Times New Roman" w:cs="Times New Roman"/>
          <w:sz w:val="22"/>
          <w:szCs w:val="22"/>
        </w:rPr>
        <w:t xml:space="preserve">HIDA scan </w:t>
      </w:r>
    </w:p>
    <w:p w14:paraId="0F1AC3F6" w14:textId="3CDB0322" w:rsidR="00D11388" w:rsidRPr="00D11388" w:rsidRDefault="00D11388" w:rsidP="00D11388">
      <w:pPr>
        <w:pStyle w:val="ListParagraph"/>
        <w:numPr>
          <w:ilvl w:val="1"/>
          <w:numId w:val="4"/>
        </w:numPr>
        <w:spacing w:after="0" w:line="240" w:lineRule="auto"/>
        <w:rPr>
          <w:rFonts w:eastAsia="Times New Roman" w:cs="Times New Roman"/>
          <w:sz w:val="22"/>
          <w:szCs w:val="22"/>
        </w:rPr>
      </w:pPr>
      <w:r w:rsidRPr="00D11388">
        <w:rPr>
          <w:rFonts w:eastAsia="Times New Roman" w:cs="Times New Roman"/>
          <w:sz w:val="22"/>
          <w:szCs w:val="22"/>
        </w:rPr>
        <w:t>MRCP</w:t>
      </w:r>
    </w:p>
    <w:p w14:paraId="7351D216" w14:textId="2720FD5D" w:rsidR="00D11388" w:rsidRPr="00D11388" w:rsidRDefault="00D11388" w:rsidP="00D11388">
      <w:pPr>
        <w:pStyle w:val="ListParagraph"/>
        <w:numPr>
          <w:ilvl w:val="0"/>
          <w:numId w:val="4"/>
        </w:numPr>
        <w:spacing w:after="0" w:line="240" w:lineRule="auto"/>
        <w:rPr>
          <w:rFonts w:eastAsia="Times New Roman" w:cs="Times New Roman"/>
          <w:sz w:val="22"/>
          <w:szCs w:val="22"/>
        </w:rPr>
      </w:pPr>
      <w:r w:rsidRPr="00D11388">
        <w:rPr>
          <w:rFonts w:eastAsia="Times New Roman" w:cs="Times New Roman"/>
          <w:sz w:val="22"/>
          <w:szCs w:val="22"/>
        </w:rPr>
        <w:t>Describe the indications for gallbladder removal in the hospital setting.</w:t>
      </w:r>
    </w:p>
    <w:p w14:paraId="24F581D1" w14:textId="77777777" w:rsidR="00D11388" w:rsidRPr="00D11388" w:rsidRDefault="00D11388" w:rsidP="00D11388">
      <w:pPr>
        <w:pStyle w:val="ListParagraph"/>
        <w:numPr>
          <w:ilvl w:val="0"/>
          <w:numId w:val="4"/>
        </w:numPr>
        <w:spacing w:after="0" w:line="240" w:lineRule="auto"/>
        <w:rPr>
          <w:rFonts w:eastAsia="Times New Roman" w:cs="Times New Roman"/>
          <w:sz w:val="22"/>
          <w:szCs w:val="22"/>
        </w:rPr>
      </w:pPr>
      <w:r w:rsidRPr="00D11388">
        <w:rPr>
          <w:rFonts w:eastAsia="Times New Roman" w:cs="Times New Roman"/>
          <w:sz w:val="22"/>
          <w:szCs w:val="22"/>
        </w:rPr>
        <w:t>Describe the indications for cholecystostomy tube placement.</w:t>
      </w:r>
    </w:p>
    <w:p w14:paraId="2B8771DE" w14:textId="77777777" w:rsidR="00D11388" w:rsidRPr="00D11388" w:rsidRDefault="00D11388">
      <w:pPr>
        <w:rPr>
          <w:sz w:val="22"/>
          <w:szCs w:val="22"/>
        </w:rPr>
      </w:pPr>
    </w:p>
    <w:p w14:paraId="7F30C460" w14:textId="7899C61F" w:rsidR="00D11388" w:rsidRPr="00D11388" w:rsidRDefault="00D11388" w:rsidP="00D11388">
      <w:pPr>
        <w:rPr>
          <w:sz w:val="22"/>
          <w:szCs w:val="22"/>
        </w:rPr>
      </w:pPr>
      <w:r w:rsidRPr="00D11388">
        <w:rPr>
          <w:sz w:val="22"/>
          <w:szCs w:val="22"/>
        </w:rPr>
        <w:t xml:space="preserve">10:15 - 11:00 - Dr. </w:t>
      </w:r>
      <w:proofErr w:type="spellStart"/>
      <w:r w:rsidRPr="00D11388">
        <w:rPr>
          <w:sz w:val="22"/>
          <w:szCs w:val="22"/>
        </w:rPr>
        <w:t>Wijarnprecha</w:t>
      </w:r>
      <w:proofErr w:type="spellEnd"/>
      <w:r w:rsidRPr="00D11388">
        <w:rPr>
          <w:sz w:val="22"/>
          <w:szCs w:val="22"/>
        </w:rPr>
        <w:t>, hepatitis B</w:t>
      </w:r>
    </w:p>
    <w:p w14:paraId="0CEA84F3" w14:textId="74C49133" w:rsidR="00D11388" w:rsidRPr="00D11388" w:rsidRDefault="00D11388" w:rsidP="00D11388">
      <w:pPr>
        <w:pStyle w:val="Default"/>
        <w:numPr>
          <w:ilvl w:val="0"/>
          <w:numId w:val="6"/>
        </w:numPr>
        <w:spacing w:after="25"/>
        <w:rPr>
          <w:rFonts w:asciiTheme="minorHAnsi" w:hAnsiTheme="minorHAnsi"/>
          <w:sz w:val="22"/>
          <w:szCs w:val="22"/>
        </w:rPr>
      </w:pPr>
      <w:r w:rsidRPr="00D11388">
        <w:rPr>
          <w:rFonts w:asciiTheme="minorHAnsi" w:hAnsiTheme="minorHAnsi"/>
          <w:sz w:val="22"/>
          <w:szCs w:val="22"/>
        </w:rPr>
        <w:t xml:space="preserve">Know the indications for immunization for hepatitis B infection prevention. </w:t>
      </w:r>
    </w:p>
    <w:p w14:paraId="463A79A4" w14:textId="1E5E4CAE" w:rsidR="00D11388" w:rsidRPr="00D11388" w:rsidRDefault="00D11388" w:rsidP="00D11388">
      <w:pPr>
        <w:pStyle w:val="Default"/>
        <w:numPr>
          <w:ilvl w:val="0"/>
          <w:numId w:val="6"/>
        </w:numPr>
        <w:spacing w:after="25"/>
        <w:rPr>
          <w:rFonts w:asciiTheme="minorHAnsi" w:hAnsiTheme="minorHAnsi"/>
          <w:sz w:val="22"/>
          <w:szCs w:val="22"/>
        </w:rPr>
      </w:pPr>
      <w:r w:rsidRPr="00D11388">
        <w:rPr>
          <w:rFonts w:asciiTheme="minorHAnsi" w:hAnsiTheme="minorHAnsi"/>
          <w:sz w:val="22"/>
          <w:szCs w:val="22"/>
        </w:rPr>
        <w:t xml:space="preserve">Who should be screened for hepatitis B? </w:t>
      </w:r>
    </w:p>
    <w:p w14:paraId="08EDB5E9" w14:textId="73DB7B08" w:rsidR="00D11388" w:rsidRPr="00D11388" w:rsidRDefault="00D11388" w:rsidP="00D11388">
      <w:pPr>
        <w:pStyle w:val="Default"/>
        <w:numPr>
          <w:ilvl w:val="0"/>
          <w:numId w:val="6"/>
        </w:numPr>
        <w:spacing w:after="25"/>
        <w:rPr>
          <w:rFonts w:asciiTheme="minorHAnsi" w:hAnsiTheme="minorHAnsi"/>
          <w:sz w:val="22"/>
          <w:szCs w:val="22"/>
        </w:rPr>
      </w:pPr>
      <w:r w:rsidRPr="00D11388">
        <w:rPr>
          <w:rFonts w:asciiTheme="minorHAnsi" w:hAnsiTheme="minorHAnsi"/>
          <w:sz w:val="22"/>
          <w:szCs w:val="22"/>
        </w:rPr>
        <w:t xml:space="preserve">Draw a table of interpretation of hepatitis B serologies (HBsAg, anti-HBs, IgM anti-HBc, IgG, anti-HBc, </w:t>
      </w:r>
      <w:proofErr w:type="spellStart"/>
      <w:r w:rsidRPr="00D11388">
        <w:rPr>
          <w:rFonts w:asciiTheme="minorHAnsi" w:hAnsiTheme="minorHAnsi"/>
          <w:sz w:val="22"/>
          <w:szCs w:val="22"/>
        </w:rPr>
        <w:t>HBeAg</w:t>
      </w:r>
      <w:proofErr w:type="spellEnd"/>
      <w:r w:rsidRPr="00D11388">
        <w:rPr>
          <w:rFonts w:asciiTheme="minorHAnsi" w:hAnsiTheme="minorHAnsi"/>
          <w:sz w:val="22"/>
          <w:szCs w:val="22"/>
        </w:rPr>
        <w:t>, anti-</w:t>
      </w:r>
      <w:proofErr w:type="spellStart"/>
      <w:r w:rsidRPr="00D11388">
        <w:rPr>
          <w:rFonts w:asciiTheme="minorHAnsi" w:hAnsiTheme="minorHAnsi"/>
          <w:sz w:val="22"/>
          <w:szCs w:val="22"/>
        </w:rPr>
        <w:t>HBe</w:t>
      </w:r>
      <w:proofErr w:type="spellEnd"/>
      <w:r w:rsidRPr="00D11388">
        <w:rPr>
          <w:rFonts w:asciiTheme="minorHAnsi" w:hAnsiTheme="minorHAnsi"/>
          <w:sz w:val="22"/>
          <w:szCs w:val="22"/>
        </w:rPr>
        <w:t xml:space="preserve">, HBV DNA. </w:t>
      </w:r>
    </w:p>
    <w:p w14:paraId="226867D0" w14:textId="52B15C89" w:rsidR="00D11388" w:rsidRPr="00D11388" w:rsidRDefault="00D11388" w:rsidP="00D11388">
      <w:pPr>
        <w:pStyle w:val="Default"/>
        <w:numPr>
          <w:ilvl w:val="0"/>
          <w:numId w:val="6"/>
        </w:numPr>
        <w:rPr>
          <w:rFonts w:asciiTheme="minorHAnsi" w:hAnsiTheme="minorHAnsi"/>
          <w:sz w:val="22"/>
          <w:szCs w:val="22"/>
        </w:rPr>
      </w:pPr>
      <w:r w:rsidRPr="00D11388">
        <w:rPr>
          <w:rFonts w:asciiTheme="minorHAnsi" w:hAnsiTheme="minorHAnsi"/>
          <w:sz w:val="22"/>
          <w:szCs w:val="22"/>
        </w:rPr>
        <w:t xml:space="preserve">Which patient populations should undergo treatment for hepatitis B? </w:t>
      </w:r>
    </w:p>
    <w:p w14:paraId="1A311432" w14:textId="77777777" w:rsidR="00D11388" w:rsidRPr="00D11388" w:rsidRDefault="00D11388">
      <w:pPr>
        <w:rPr>
          <w:sz w:val="22"/>
          <w:szCs w:val="22"/>
        </w:rPr>
      </w:pPr>
    </w:p>
    <w:p w14:paraId="4A6C5568" w14:textId="64126A6C" w:rsidR="00D11388" w:rsidRPr="00D11388" w:rsidRDefault="00D11388">
      <w:pPr>
        <w:rPr>
          <w:sz w:val="22"/>
          <w:szCs w:val="22"/>
        </w:rPr>
      </w:pPr>
      <w:r w:rsidRPr="00D11388">
        <w:rPr>
          <w:sz w:val="22"/>
          <w:szCs w:val="22"/>
        </w:rPr>
        <w:t xml:space="preserve">11:30 - 12:15 - Dr. </w:t>
      </w:r>
      <w:proofErr w:type="spellStart"/>
      <w:r w:rsidRPr="00D11388">
        <w:rPr>
          <w:sz w:val="22"/>
          <w:szCs w:val="22"/>
        </w:rPr>
        <w:t>Alnimer</w:t>
      </w:r>
      <w:proofErr w:type="spellEnd"/>
      <w:r w:rsidRPr="00D11388">
        <w:rPr>
          <w:sz w:val="22"/>
          <w:szCs w:val="22"/>
        </w:rPr>
        <w:t>, GERD</w:t>
      </w:r>
    </w:p>
    <w:p w14:paraId="6C9E2DEE" w14:textId="069AD6D4" w:rsidR="00D11388" w:rsidRPr="00D11388" w:rsidRDefault="00D11388" w:rsidP="00D11388">
      <w:pPr>
        <w:pStyle w:val="ListParagraph"/>
        <w:numPr>
          <w:ilvl w:val="0"/>
          <w:numId w:val="7"/>
        </w:numPr>
        <w:rPr>
          <w:sz w:val="22"/>
          <w:szCs w:val="22"/>
        </w:rPr>
      </w:pPr>
      <w:r w:rsidRPr="00D11388">
        <w:rPr>
          <w:sz w:val="22"/>
          <w:szCs w:val="22"/>
        </w:rPr>
        <w:t xml:space="preserve">List the common clinical manifestations of GERD. </w:t>
      </w:r>
    </w:p>
    <w:p w14:paraId="405092CC" w14:textId="71BA7EE4" w:rsidR="00D11388" w:rsidRPr="00D11388" w:rsidRDefault="00D11388" w:rsidP="00D11388">
      <w:pPr>
        <w:pStyle w:val="ListParagraph"/>
        <w:numPr>
          <w:ilvl w:val="0"/>
          <w:numId w:val="7"/>
        </w:numPr>
        <w:rPr>
          <w:sz w:val="22"/>
          <w:szCs w:val="22"/>
        </w:rPr>
      </w:pPr>
      <w:r w:rsidRPr="00D11388">
        <w:rPr>
          <w:sz w:val="22"/>
          <w:szCs w:val="22"/>
        </w:rPr>
        <w:t xml:space="preserve">Distinguish GERD from common mimickers such as functional heartburn, eosinophilic esophagitis, cardiac chest pain and gastroparesis. </w:t>
      </w:r>
    </w:p>
    <w:p w14:paraId="738205A4" w14:textId="1B2927EE" w:rsidR="00D11388" w:rsidRPr="00D11388" w:rsidRDefault="00D11388" w:rsidP="00D11388">
      <w:pPr>
        <w:pStyle w:val="ListParagraph"/>
        <w:numPr>
          <w:ilvl w:val="0"/>
          <w:numId w:val="7"/>
        </w:numPr>
        <w:rPr>
          <w:sz w:val="22"/>
          <w:szCs w:val="22"/>
        </w:rPr>
      </w:pPr>
      <w:r w:rsidRPr="00D11388">
        <w:rPr>
          <w:sz w:val="22"/>
          <w:szCs w:val="22"/>
        </w:rPr>
        <w:t xml:space="preserve">Evaluate patients with persistent or refractory symptoms and understand the role of diagnostic testing including upper endoscopy, ambulatory pH testing and pH-impedance monitoring. </w:t>
      </w:r>
    </w:p>
    <w:p w14:paraId="71B2A922" w14:textId="6E9BADD3" w:rsidR="00D11388" w:rsidRPr="00D11388" w:rsidRDefault="00D11388" w:rsidP="00D11388">
      <w:pPr>
        <w:pStyle w:val="ListParagraph"/>
        <w:numPr>
          <w:ilvl w:val="0"/>
          <w:numId w:val="7"/>
        </w:numPr>
        <w:rPr>
          <w:sz w:val="22"/>
          <w:szCs w:val="22"/>
        </w:rPr>
      </w:pPr>
      <w:r w:rsidRPr="00D11388">
        <w:rPr>
          <w:sz w:val="22"/>
          <w:szCs w:val="22"/>
        </w:rPr>
        <w:t xml:space="preserve">Select appropriate initial therapy, including lifestyle interventions, H2RA and PPI therapy (including choice of agent, timing of therapy and duration of therapy) based on symptoms, severity and RFs. Recognize the risks of </w:t>
      </w:r>
      <w:r w:rsidR="00A145F9" w:rsidRPr="00D11388">
        <w:rPr>
          <w:sz w:val="22"/>
          <w:szCs w:val="22"/>
        </w:rPr>
        <w:t>long-term</w:t>
      </w:r>
      <w:r w:rsidRPr="00D11388">
        <w:rPr>
          <w:sz w:val="22"/>
          <w:szCs w:val="22"/>
        </w:rPr>
        <w:t xml:space="preserve"> PPI therapy. </w:t>
      </w:r>
    </w:p>
    <w:p w14:paraId="4AB86845" w14:textId="4C9E95D5" w:rsidR="00D11388" w:rsidRPr="00D11388" w:rsidRDefault="00D11388" w:rsidP="00D11388">
      <w:pPr>
        <w:pStyle w:val="ListParagraph"/>
        <w:numPr>
          <w:ilvl w:val="0"/>
          <w:numId w:val="7"/>
        </w:numPr>
        <w:rPr>
          <w:sz w:val="22"/>
          <w:szCs w:val="22"/>
        </w:rPr>
      </w:pPr>
      <w:r w:rsidRPr="00D11388">
        <w:rPr>
          <w:sz w:val="22"/>
          <w:szCs w:val="22"/>
        </w:rPr>
        <w:t xml:space="preserve">Understand the appropriate indications for upper endoscopy, Barrett's esophagus screening and GI referral based on alarm symptoms and risk stratification. </w:t>
      </w:r>
    </w:p>
    <w:p w14:paraId="190E448A" w14:textId="001A8D92" w:rsidR="00D11388" w:rsidRPr="006C2172" w:rsidRDefault="00D11388">
      <w:pPr>
        <w:rPr>
          <w:sz w:val="22"/>
          <w:szCs w:val="22"/>
        </w:rPr>
      </w:pPr>
    </w:p>
    <w:sectPr w:rsidR="00D11388" w:rsidRPr="006C2172" w:rsidSect="00100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43A8"/>
    <w:multiLevelType w:val="hybridMultilevel"/>
    <w:tmpl w:val="A5F8A2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FA631F"/>
    <w:multiLevelType w:val="hybridMultilevel"/>
    <w:tmpl w:val="B084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A11AF"/>
    <w:multiLevelType w:val="hybridMultilevel"/>
    <w:tmpl w:val="19E02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D5A0D"/>
    <w:multiLevelType w:val="hybridMultilevel"/>
    <w:tmpl w:val="E27AF2DE"/>
    <w:lvl w:ilvl="0" w:tplc="0409000F">
      <w:start w:val="1"/>
      <w:numFmt w:val="decimal"/>
      <w:lvlText w:val="%1."/>
      <w:lvlJc w:val="left"/>
      <w:pPr>
        <w:ind w:left="720" w:hanging="360"/>
      </w:pPr>
      <w:rPr>
        <w:rFonts w:hint="default"/>
      </w:rPr>
    </w:lvl>
    <w:lvl w:ilvl="1" w:tplc="BC1C04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751EC0"/>
    <w:multiLevelType w:val="multilevel"/>
    <w:tmpl w:val="A2FE5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816969"/>
    <w:multiLevelType w:val="hybridMultilevel"/>
    <w:tmpl w:val="485EB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EF494E"/>
    <w:multiLevelType w:val="hybridMultilevel"/>
    <w:tmpl w:val="0F14D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6527D0"/>
    <w:multiLevelType w:val="multilevel"/>
    <w:tmpl w:val="FD84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A2673D"/>
    <w:multiLevelType w:val="hybridMultilevel"/>
    <w:tmpl w:val="B0A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A5AA3"/>
    <w:multiLevelType w:val="hybridMultilevel"/>
    <w:tmpl w:val="C45C8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16EB1"/>
    <w:multiLevelType w:val="hybridMultilevel"/>
    <w:tmpl w:val="7DEA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329040">
    <w:abstractNumId w:val="4"/>
  </w:num>
  <w:num w:numId="2" w16cid:durableId="733314839">
    <w:abstractNumId w:val="0"/>
  </w:num>
  <w:num w:numId="3" w16cid:durableId="1471552650">
    <w:abstractNumId w:val="1"/>
  </w:num>
  <w:num w:numId="4" w16cid:durableId="727998114">
    <w:abstractNumId w:val="3"/>
  </w:num>
  <w:num w:numId="5" w16cid:durableId="1484587274">
    <w:abstractNumId w:val="9"/>
  </w:num>
  <w:num w:numId="6" w16cid:durableId="507406779">
    <w:abstractNumId w:val="8"/>
  </w:num>
  <w:num w:numId="7" w16cid:durableId="1238783724">
    <w:abstractNumId w:val="5"/>
  </w:num>
  <w:num w:numId="8" w16cid:durableId="1054963713">
    <w:abstractNumId w:val="7"/>
  </w:num>
  <w:num w:numId="9" w16cid:durableId="1759864224">
    <w:abstractNumId w:val="6"/>
  </w:num>
  <w:num w:numId="10" w16cid:durableId="1759130641">
    <w:abstractNumId w:val="2"/>
  </w:num>
  <w:num w:numId="11" w16cid:durableId="19786771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88"/>
    <w:rsid w:val="00100BA5"/>
    <w:rsid w:val="001E11D3"/>
    <w:rsid w:val="00283D01"/>
    <w:rsid w:val="006C124D"/>
    <w:rsid w:val="006C2172"/>
    <w:rsid w:val="009241C5"/>
    <w:rsid w:val="009B57D0"/>
    <w:rsid w:val="00A145F9"/>
    <w:rsid w:val="00AC0FC6"/>
    <w:rsid w:val="00CC4432"/>
    <w:rsid w:val="00D11388"/>
    <w:rsid w:val="00FD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CEFDBF"/>
  <w15:chartTrackingRefBased/>
  <w15:docId w15:val="{3A023249-A19C-5848-9441-85879BB1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388"/>
    <w:rPr>
      <w:rFonts w:eastAsiaTheme="majorEastAsia" w:cstheme="majorBidi"/>
      <w:color w:val="272727" w:themeColor="text1" w:themeTint="D8"/>
    </w:rPr>
  </w:style>
  <w:style w:type="paragraph" w:styleId="Title">
    <w:name w:val="Title"/>
    <w:basedOn w:val="Normal"/>
    <w:next w:val="Normal"/>
    <w:link w:val="TitleChar"/>
    <w:uiPriority w:val="10"/>
    <w:qFormat/>
    <w:rsid w:val="00D11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388"/>
    <w:pPr>
      <w:spacing w:before="160"/>
      <w:jc w:val="center"/>
    </w:pPr>
    <w:rPr>
      <w:i/>
      <w:iCs/>
      <w:color w:val="404040" w:themeColor="text1" w:themeTint="BF"/>
    </w:rPr>
  </w:style>
  <w:style w:type="character" w:customStyle="1" w:styleId="QuoteChar">
    <w:name w:val="Quote Char"/>
    <w:basedOn w:val="DefaultParagraphFont"/>
    <w:link w:val="Quote"/>
    <w:uiPriority w:val="29"/>
    <w:rsid w:val="00D11388"/>
    <w:rPr>
      <w:i/>
      <w:iCs/>
      <w:color w:val="404040" w:themeColor="text1" w:themeTint="BF"/>
    </w:rPr>
  </w:style>
  <w:style w:type="paragraph" w:styleId="ListParagraph">
    <w:name w:val="List Paragraph"/>
    <w:basedOn w:val="Normal"/>
    <w:uiPriority w:val="34"/>
    <w:qFormat/>
    <w:rsid w:val="00D11388"/>
    <w:pPr>
      <w:ind w:left="720"/>
      <w:contextualSpacing/>
    </w:pPr>
  </w:style>
  <w:style w:type="character" w:styleId="IntenseEmphasis">
    <w:name w:val="Intense Emphasis"/>
    <w:basedOn w:val="DefaultParagraphFont"/>
    <w:uiPriority w:val="21"/>
    <w:qFormat/>
    <w:rsid w:val="00D11388"/>
    <w:rPr>
      <w:i/>
      <w:iCs/>
      <w:color w:val="0F4761" w:themeColor="accent1" w:themeShade="BF"/>
    </w:rPr>
  </w:style>
  <w:style w:type="paragraph" w:styleId="IntenseQuote">
    <w:name w:val="Intense Quote"/>
    <w:basedOn w:val="Normal"/>
    <w:next w:val="Normal"/>
    <w:link w:val="IntenseQuoteChar"/>
    <w:uiPriority w:val="30"/>
    <w:qFormat/>
    <w:rsid w:val="00D11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388"/>
    <w:rPr>
      <w:i/>
      <w:iCs/>
      <w:color w:val="0F4761" w:themeColor="accent1" w:themeShade="BF"/>
    </w:rPr>
  </w:style>
  <w:style w:type="character" w:styleId="IntenseReference">
    <w:name w:val="Intense Reference"/>
    <w:basedOn w:val="DefaultParagraphFont"/>
    <w:uiPriority w:val="32"/>
    <w:qFormat/>
    <w:rsid w:val="00D11388"/>
    <w:rPr>
      <w:b/>
      <w:bCs/>
      <w:smallCaps/>
      <w:color w:val="0F4761" w:themeColor="accent1" w:themeShade="BF"/>
      <w:spacing w:val="5"/>
    </w:rPr>
  </w:style>
  <w:style w:type="paragraph" w:customStyle="1" w:styleId="xmsonormal">
    <w:name w:val="x_msonormal"/>
    <w:basedOn w:val="Normal"/>
    <w:rsid w:val="00D1138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xcontentpasted0">
    <w:name w:val="x_contentpasted0"/>
    <w:basedOn w:val="DefaultParagraphFont"/>
    <w:rsid w:val="00D11388"/>
  </w:style>
  <w:style w:type="paragraph" w:styleId="NormalWeb">
    <w:name w:val="Normal (Web)"/>
    <w:basedOn w:val="Normal"/>
    <w:uiPriority w:val="99"/>
    <w:semiHidden/>
    <w:unhideWhenUsed/>
    <w:rsid w:val="00D1138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rsid w:val="00D11388"/>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Harper</dc:creator>
  <cp:keywords/>
  <dc:description/>
  <cp:lastModifiedBy>Lise Harper</cp:lastModifiedBy>
  <cp:revision>2</cp:revision>
  <dcterms:created xsi:type="dcterms:W3CDTF">2026-01-08T02:42:00Z</dcterms:created>
  <dcterms:modified xsi:type="dcterms:W3CDTF">2026-01-08T02:42:00Z</dcterms:modified>
</cp:coreProperties>
</file>