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30B4" w14:textId="4E4ADCFA" w:rsidR="00047796" w:rsidRPr="004B1C05" w:rsidRDefault="004B1C05" w:rsidP="004B1C05">
      <w:pPr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4B1C05">
        <w:rPr>
          <w:rFonts w:ascii="Calibri" w:hAnsi="Calibri" w:cs="Calibri"/>
          <w:b/>
          <w:bCs/>
          <w:sz w:val="20"/>
          <w:szCs w:val="20"/>
          <w:u w:val="single"/>
        </w:rPr>
        <w:t xml:space="preserve">March 3, </w:t>
      </w:r>
      <w:proofErr w:type="gramStart"/>
      <w:r w:rsidRPr="004B1C05">
        <w:rPr>
          <w:rFonts w:ascii="Calibri" w:hAnsi="Calibri" w:cs="Calibri"/>
          <w:b/>
          <w:bCs/>
          <w:sz w:val="20"/>
          <w:szCs w:val="20"/>
          <w:u w:val="single"/>
        </w:rPr>
        <w:t>2026</w:t>
      </w:r>
      <w:proofErr w:type="gramEnd"/>
      <w:r w:rsidRPr="004B1C05">
        <w:rPr>
          <w:rFonts w:ascii="Calibri" w:hAnsi="Calibri" w:cs="Calibri"/>
          <w:b/>
          <w:bCs/>
          <w:sz w:val="20"/>
          <w:szCs w:val="20"/>
          <w:u w:val="single"/>
        </w:rPr>
        <w:t xml:space="preserve"> AHD Learning Objectives:</w:t>
      </w:r>
    </w:p>
    <w:p w14:paraId="46EDA526" w14:textId="36FCA59F" w:rsidR="004B1C05" w:rsidRPr="004B1C05" w:rsidRDefault="004B1C05" w:rsidP="004B1C05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4B1C05">
        <w:rPr>
          <w:rFonts w:ascii="Calibri" w:hAnsi="Calibri" w:cs="Calibri"/>
          <w:b/>
          <w:bCs/>
          <w:sz w:val="20"/>
          <w:szCs w:val="20"/>
          <w:u w:val="single"/>
        </w:rPr>
        <w:t>Fever of Unknown Origin</w:t>
      </w:r>
    </w:p>
    <w:p w14:paraId="34706158" w14:textId="3A45EF0E" w:rsidR="004B1C05" w:rsidRPr="004B1C05" w:rsidRDefault="004B1C05" w:rsidP="004F6EF9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 w:rsidRPr="004B1C05">
        <w:rPr>
          <w:rFonts w:ascii="Calibri" w:hAnsi="Calibri" w:cs="Calibri"/>
          <w:sz w:val="20"/>
          <w:szCs w:val="20"/>
        </w:rPr>
        <w:t>Define and classify Fever of Unknown Origin (FUO) using historical and modern criteria and understand where rheumatic diseases fit in the differential diagnosis.</w:t>
      </w:r>
    </w:p>
    <w:p w14:paraId="29C97810" w14:textId="4E5F02D2" w:rsidR="004B1C05" w:rsidRPr="004B1C05" w:rsidRDefault="004B1C05" w:rsidP="004F6EF9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 w:rsidRPr="004B1C05">
        <w:rPr>
          <w:rFonts w:ascii="Calibri" w:hAnsi="Calibri" w:cs="Calibri"/>
          <w:sz w:val="20"/>
          <w:szCs w:val="20"/>
        </w:rPr>
        <w:t xml:space="preserve">Recognize key clinical clues in history and examination that suggest an underlying rheumatic cause of fever, including features of conditions such as Systemic lupus erythematosus, Giant cell arteritis, </w:t>
      </w:r>
      <w:proofErr w:type="gramStart"/>
      <w:r w:rsidRPr="004B1C05">
        <w:rPr>
          <w:rFonts w:ascii="Calibri" w:hAnsi="Calibri" w:cs="Calibri"/>
          <w:sz w:val="20"/>
          <w:szCs w:val="20"/>
        </w:rPr>
        <w:t>Adult</w:t>
      </w:r>
      <w:proofErr w:type="gramEnd"/>
      <w:r w:rsidRPr="004B1C05">
        <w:rPr>
          <w:rFonts w:ascii="Calibri" w:hAnsi="Calibri" w:cs="Calibri"/>
          <w:sz w:val="20"/>
          <w:szCs w:val="20"/>
        </w:rPr>
        <w:t xml:space="preserve"> onset Still’s disease, and Hemophagocytic lymphohistiocytosis.</w:t>
      </w:r>
    </w:p>
    <w:p w14:paraId="7A338FDD" w14:textId="7A2CA96C" w:rsidR="004B1C05" w:rsidRPr="004B1C05" w:rsidRDefault="004B1C05" w:rsidP="004F6EF9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 w:rsidRPr="004B1C05">
        <w:rPr>
          <w:rFonts w:ascii="Calibri" w:hAnsi="Calibri" w:cs="Calibri"/>
          <w:sz w:val="20"/>
          <w:szCs w:val="20"/>
        </w:rPr>
        <w:t>Interpret laboratory and imaging findings appropriately in the evaluation of FUO including ferritin, autoantibodies (ANA, ANCA, RF, anti-CCP), and the role of FDG-PET-CT in identifying inflammatory versus malignant or infectious causes.</w:t>
      </w:r>
    </w:p>
    <w:p w14:paraId="467BEA57" w14:textId="296A2DFF" w:rsidR="004B1C05" w:rsidRPr="004B1C05" w:rsidRDefault="004B1C05" w:rsidP="004F6EF9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 w:rsidRPr="004B1C05">
        <w:rPr>
          <w:rFonts w:ascii="Calibri" w:hAnsi="Calibri" w:cs="Calibri"/>
          <w:sz w:val="20"/>
          <w:szCs w:val="20"/>
        </w:rPr>
        <w:t>Differentiate rheumatic diseases from infection and malignancy in patients presenting with persistent fever, particularly before initiating immunosuppressant therapy</w:t>
      </w:r>
    </w:p>
    <w:p w14:paraId="0A2C8FCF" w14:textId="59331544" w:rsidR="004B1C05" w:rsidRDefault="004B1C05" w:rsidP="004F6EF9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 w:rsidRPr="004B1C05">
        <w:rPr>
          <w:rFonts w:ascii="Calibri" w:hAnsi="Calibri" w:cs="Calibri"/>
          <w:sz w:val="20"/>
          <w:szCs w:val="20"/>
        </w:rPr>
        <w:t>Apply a structured, evidence-based diagnostic algorithm to efficiently investigate fever when a systemic inflammatory rheumatic disease is suspected.</w:t>
      </w:r>
    </w:p>
    <w:p w14:paraId="01657F6D" w14:textId="77777777" w:rsidR="004B1C05" w:rsidRPr="004B1C05" w:rsidRDefault="004B1C05" w:rsidP="004B1C05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3A2AB51" w14:textId="42807E11" w:rsidR="004B1C05" w:rsidRDefault="004B1C05" w:rsidP="004B1C05">
      <w:pPr>
        <w:rPr>
          <w:rFonts w:ascii="Calibri" w:hAnsi="Calibri" w:cs="Calibri"/>
          <w:b/>
          <w:bCs/>
          <w:sz w:val="20"/>
          <w:szCs w:val="20"/>
          <w:u w:val="single"/>
        </w:rPr>
      </w:pPr>
      <w:proofErr w:type="spellStart"/>
      <w:r w:rsidRPr="004B1C05">
        <w:rPr>
          <w:rFonts w:ascii="Calibri" w:hAnsi="Calibri" w:cs="Calibri"/>
          <w:b/>
          <w:bCs/>
          <w:sz w:val="20"/>
          <w:szCs w:val="20"/>
          <w:u w:val="single"/>
        </w:rPr>
        <w:t>Distiguishing</w:t>
      </w:r>
      <w:proofErr w:type="spellEnd"/>
      <w:r w:rsidRPr="004B1C05">
        <w:rPr>
          <w:rFonts w:ascii="Calibri" w:hAnsi="Calibri" w:cs="Calibri"/>
          <w:b/>
          <w:bCs/>
          <w:sz w:val="20"/>
          <w:szCs w:val="20"/>
          <w:u w:val="single"/>
        </w:rPr>
        <w:t xml:space="preserve"> Inflammatory Arthritis by History and Physical</w:t>
      </w:r>
    </w:p>
    <w:p w14:paraId="175B3943" w14:textId="721A747B" w:rsidR="006E73E6" w:rsidRDefault="006E73E6" w:rsidP="006E73E6">
      <w:pPr>
        <w:pStyle w:val="ListParagraph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6E73E6">
        <w:rPr>
          <w:rFonts w:ascii="Calibri" w:hAnsi="Calibri" w:cs="Calibri"/>
          <w:sz w:val="20"/>
          <w:szCs w:val="20"/>
        </w:rPr>
        <w:t>Define inflammatory arthritis.</w:t>
      </w:r>
    </w:p>
    <w:p w14:paraId="5A696F04" w14:textId="3A68C6B4" w:rsidR="006E73E6" w:rsidRDefault="006E73E6" w:rsidP="006E73E6">
      <w:pPr>
        <w:pStyle w:val="ListParagraph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Recognize the key clinical features of different types of arthritis.</w:t>
      </w:r>
    </w:p>
    <w:p w14:paraId="5003809E" w14:textId="1E52C06B" w:rsidR="006E73E6" w:rsidRDefault="006E73E6" w:rsidP="006E73E6">
      <w:pPr>
        <w:pStyle w:val="ListParagraph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Describe the classification of inflammatory arthritis.</w:t>
      </w:r>
    </w:p>
    <w:p w14:paraId="6127FD1D" w14:textId="58458C53" w:rsidR="006E73E6" w:rsidRDefault="006E73E6" w:rsidP="006E73E6">
      <w:pPr>
        <w:pStyle w:val="ListParagraph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Develop a diagnostic approach to a patient with joint pain.</w:t>
      </w:r>
    </w:p>
    <w:p w14:paraId="52AD4AB9" w14:textId="13EBE4C3" w:rsidR="006E73E6" w:rsidRDefault="006E73E6" w:rsidP="006E73E6">
      <w:pPr>
        <w:pStyle w:val="ListParagraph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Describe the initial management principles of inflammatory arthritis.</w:t>
      </w:r>
    </w:p>
    <w:p w14:paraId="19617B0D" w14:textId="66643A7F" w:rsidR="006E73E6" w:rsidRDefault="006E73E6" w:rsidP="006E73E6">
      <w:pPr>
        <w:pStyle w:val="ListParagraph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Identify high risk cases and emergencies in inflammatory </w:t>
      </w:r>
      <w:proofErr w:type="spellStart"/>
      <w:r>
        <w:rPr>
          <w:rFonts w:ascii="Calibri" w:hAnsi="Calibri" w:cs="Calibri"/>
          <w:sz w:val="20"/>
          <w:szCs w:val="20"/>
        </w:rPr>
        <w:t>arthridities</w:t>
      </w:r>
      <w:proofErr w:type="spellEnd"/>
      <w:r>
        <w:rPr>
          <w:rFonts w:ascii="Calibri" w:hAnsi="Calibri" w:cs="Calibri"/>
          <w:sz w:val="20"/>
          <w:szCs w:val="20"/>
        </w:rPr>
        <w:t>.</w:t>
      </w:r>
    </w:p>
    <w:p w14:paraId="0F8BA192" w14:textId="77777777" w:rsidR="006E73E6" w:rsidRDefault="006E73E6" w:rsidP="004B1C05">
      <w:pPr>
        <w:rPr>
          <w:rFonts w:ascii="Calibri" w:hAnsi="Calibri" w:cs="Calibri"/>
          <w:sz w:val="20"/>
          <w:szCs w:val="20"/>
        </w:rPr>
      </w:pPr>
    </w:p>
    <w:p w14:paraId="06BF246B" w14:textId="5FD1D2AA" w:rsidR="004B1C05" w:rsidRPr="006E73E6" w:rsidRDefault="004B1C05" w:rsidP="004B1C0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Seronegative Arthropathies</w:t>
      </w:r>
    </w:p>
    <w:p w14:paraId="62EC3633" w14:textId="6A1CD6FC" w:rsidR="004F6EF9" w:rsidRDefault="006E73E6" w:rsidP="006E73E6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1.  Define spondyloarthritis.</w:t>
      </w:r>
    </w:p>
    <w:p w14:paraId="40BE4FF5" w14:textId="1078EF14" w:rsidR="006E73E6" w:rsidRDefault="006E73E6" w:rsidP="006E73E6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2. Identify the different types of </w:t>
      </w:r>
      <w:r w:rsidR="00674542">
        <w:rPr>
          <w:rFonts w:ascii="Calibri" w:hAnsi="Calibri" w:cs="Calibri"/>
          <w:sz w:val="20"/>
          <w:szCs w:val="20"/>
        </w:rPr>
        <w:t>spondyloarthropathies</w:t>
      </w:r>
      <w:r>
        <w:rPr>
          <w:rFonts w:ascii="Calibri" w:hAnsi="Calibri" w:cs="Calibri"/>
          <w:sz w:val="20"/>
          <w:szCs w:val="20"/>
        </w:rPr>
        <w:t xml:space="preserve"> and </w:t>
      </w:r>
      <w:r w:rsidR="00674542">
        <w:rPr>
          <w:rFonts w:ascii="Calibri" w:hAnsi="Calibri" w:cs="Calibri"/>
          <w:sz w:val="20"/>
          <w:szCs w:val="20"/>
        </w:rPr>
        <w:t xml:space="preserve">describe </w:t>
      </w:r>
      <w:r>
        <w:rPr>
          <w:rFonts w:ascii="Calibri" w:hAnsi="Calibri" w:cs="Calibri"/>
          <w:sz w:val="20"/>
          <w:szCs w:val="20"/>
        </w:rPr>
        <w:t>their clinical presentations.</w:t>
      </w:r>
    </w:p>
    <w:p w14:paraId="0EEAF48F" w14:textId="74F2B174" w:rsidR="006E73E6" w:rsidRDefault="006E73E6" w:rsidP="006E73E6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3. Define inflammatory back pain, enth</w:t>
      </w:r>
      <w:r w:rsidR="00674542"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 xml:space="preserve">sitis and </w:t>
      </w:r>
      <w:r w:rsidR="00674542">
        <w:rPr>
          <w:rFonts w:ascii="Calibri" w:hAnsi="Calibri" w:cs="Calibri"/>
          <w:sz w:val="20"/>
          <w:szCs w:val="20"/>
        </w:rPr>
        <w:t>dactylitis</w:t>
      </w:r>
      <w:r>
        <w:rPr>
          <w:rFonts w:ascii="Calibri" w:hAnsi="Calibri" w:cs="Calibri"/>
          <w:sz w:val="20"/>
          <w:szCs w:val="20"/>
        </w:rPr>
        <w:t>.</w:t>
      </w:r>
    </w:p>
    <w:p w14:paraId="7DD56680" w14:textId="4144D07E" w:rsidR="006E73E6" w:rsidRDefault="006E73E6" w:rsidP="006E73E6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4. Describe the role of HLA B27 in spondyloarthropathies.</w:t>
      </w:r>
    </w:p>
    <w:p w14:paraId="5066F9F6" w14:textId="102FD06F" w:rsidR="006E73E6" w:rsidRDefault="006E73E6" w:rsidP="006E73E6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5. Describe the common imaging findings in spondyloarthropathies.</w:t>
      </w:r>
    </w:p>
    <w:p w14:paraId="3D154223" w14:textId="768D630E" w:rsidR="006E73E6" w:rsidRPr="006E73E6" w:rsidRDefault="006E73E6" w:rsidP="006E73E6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6. Describe the common treatment options in spondyloarthropathies. </w:t>
      </w:r>
    </w:p>
    <w:p w14:paraId="4BCEE02E" w14:textId="77777777" w:rsidR="004B1C05" w:rsidRDefault="004B1C05" w:rsidP="006E73E6"/>
    <w:p w14:paraId="233F9847" w14:textId="77777777" w:rsidR="004B1C05" w:rsidRPr="004B1C05" w:rsidRDefault="004B1C05" w:rsidP="004B1C05">
      <w:pPr>
        <w:pStyle w:val="ListParagraph"/>
      </w:pPr>
    </w:p>
    <w:p w14:paraId="5682A56D" w14:textId="77777777" w:rsidR="004B1C05" w:rsidRDefault="004B1C05"/>
    <w:sectPr w:rsidR="004B1C05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374D"/>
    <w:multiLevelType w:val="hybridMultilevel"/>
    <w:tmpl w:val="94784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26B39"/>
    <w:multiLevelType w:val="hybridMultilevel"/>
    <w:tmpl w:val="046AC5F2"/>
    <w:lvl w:ilvl="0" w:tplc="06C034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1D38375A"/>
    <w:multiLevelType w:val="hybridMultilevel"/>
    <w:tmpl w:val="7D60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53E7"/>
    <w:multiLevelType w:val="hybridMultilevel"/>
    <w:tmpl w:val="F85EC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77EDC"/>
    <w:multiLevelType w:val="hybridMultilevel"/>
    <w:tmpl w:val="D644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00169"/>
    <w:multiLevelType w:val="hybridMultilevel"/>
    <w:tmpl w:val="B8B0EE0A"/>
    <w:lvl w:ilvl="0" w:tplc="8A9AA69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num w:numId="1" w16cid:durableId="1651326700">
    <w:abstractNumId w:val="2"/>
  </w:num>
  <w:num w:numId="2" w16cid:durableId="336419471">
    <w:abstractNumId w:val="4"/>
  </w:num>
  <w:num w:numId="3" w16cid:durableId="304898721">
    <w:abstractNumId w:val="0"/>
  </w:num>
  <w:num w:numId="4" w16cid:durableId="980425499">
    <w:abstractNumId w:val="1"/>
  </w:num>
  <w:num w:numId="5" w16cid:durableId="905458872">
    <w:abstractNumId w:val="3"/>
  </w:num>
  <w:num w:numId="6" w16cid:durableId="854996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05"/>
    <w:rsid w:val="00047796"/>
    <w:rsid w:val="00371DD9"/>
    <w:rsid w:val="003748B3"/>
    <w:rsid w:val="004B1C05"/>
    <w:rsid w:val="004D48E2"/>
    <w:rsid w:val="004F6EF9"/>
    <w:rsid w:val="00545A2B"/>
    <w:rsid w:val="00674542"/>
    <w:rsid w:val="006E73E6"/>
    <w:rsid w:val="008D4061"/>
    <w:rsid w:val="00B6416E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CCA096"/>
  <w15:chartTrackingRefBased/>
  <w15:docId w15:val="{AAC8F448-4E95-E242-81BA-E0EE953F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C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2</cp:revision>
  <dcterms:created xsi:type="dcterms:W3CDTF">2026-03-01T19:52:00Z</dcterms:created>
  <dcterms:modified xsi:type="dcterms:W3CDTF">2026-03-01T19:52:00Z</dcterms:modified>
</cp:coreProperties>
</file>