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137F" w14:textId="342E0DB9" w:rsidR="002A7084" w:rsidRDefault="002A7084" w:rsidP="0035426E">
      <w:pPr>
        <w:spacing w:after="100" w:afterAutospacing="1"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MKSAP 1/13/2026</w:t>
      </w:r>
    </w:p>
    <w:p w14:paraId="22153F25" w14:textId="5E1B4111" w:rsidR="0035426E" w:rsidRPr="0035426E" w:rsidRDefault="005C5629" w:rsidP="0035426E">
      <w:pPr>
        <w:spacing w:after="100" w:afterAutospacing="1"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 xml:space="preserve">1. </w:t>
      </w:r>
      <w:r w:rsidR="0035426E" w:rsidRPr="0035426E">
        <w:rPr>
          <w:rFonts w:ascii="Calibri" w:eastAsia="Times New Roman" w:hAnsi="Calibri" w:cs="Calibri"/>
          <w:kern w:val="0"/>
          <w:sz w:val="20"/>
          <w:szCs w:val="20"/>
          <w14:ligatures w14:val="none"/>
        </w:rPr>
        <w:t xml:space="preserve">A 57-year-old woman is evaluated for worsening fatigue during the past year. She used to walk a </w:t>
      </w:r>
      <w:proofErr w:type="gramStart"/>
      <w:r w:rsidR="0035426E" w:rsidRPr="0035426E">
        <w:rPr>
          <w:rFonts w:ascii="Calibri" w:eastAsia="Times New Roman" w:hAnsi="Calibri" w:cs="Calibri"/>
          <w:kern w:val="0"/>
          <w:sz w:val="20"/>
          <w:szCs w:val="20"/>
          <w14:ligatures w14:val="none"/>
        </w:rPr>
        <w:t>half-mile</w:t>
      </w:r>
      <w:proofErr w:type="gramEnd"/>
      <w:r w:rsidR="0035426E" w:rsidRPr="0035426E">
        <w:rPr>
          <w:rFonts w:ascii="Calibri" w:eastAsia="Times New Roman" w:hAnsi="Calibri" w:cs="Calibri"/>
          <w:kern w:val="0"/>
          <w:sz w:val="20"/>
          <w:szCs w:val="20"/>
          <w14:ligatures w14:val="none"/>
        </w:rPr>
        <w:t xml:space="preserve"> daily but lately finds that she has “no energy.” She also reports generalized mild prurit</w:t>
      </w:r>
      <w:r w:rsidR="002A7084">
        <w:rPr>
          <w:rFonts w:ascii="Calibri" w:eastAsia="Times New Roman" w:hAnsi="Calibri" w:cs="Calibri"/>
          <w:kern w:val="0"/>
          <w:sz w:val="20"/>
          <w:szCs w:val="20"/>
          <w14:ligatures w14:val="none"/>
        </w:rPr>
        <w:t>u</w:t>
      </w:r>
      <w:r w:rsidR="0035426E" w:rsidRPr="0035426E">
        <w:rPr>
          <w:rFonts w:ascii="Calibri" w:eastAsia="Times New Roman" w:hAnsi="Calibri" w:cs="Calibri"/>
          <w:kern w:val="0"/>
          <w:sz w:val="20"/>
          <w:szCs w:val="20"/>
          <w14:ligatures w14:val="none"/>
        </w:rPr>
        <w:t>s. She does not have exertional dyspnea, chest pain, or lower extremity edema. She has hypothyroidism treated with levothyroxine.</w:t>
      </w:r>
    </w:p>
    <w:p w14:paraId="24242D3C" w14:textId="77777777" w:rsidR="0035426E" w:rsidRPr="0035426E" w:rsidRDefault="0035426E" w:rsidP="0035426E">
      <w:pPr>
        <w:spacing w:after="100" w:afterAutospacing="1"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On physical examination vital signs are normal. Excoriations on the trunk are noted.</w:t>
      </w:r>
    </w:p>
    <w:tbl>
      <w:tblPr>
        <w:tblW w:w="11520" w:type="dxa"/>
        <w:tblCellMar>
          <w:top w:w="15" w:type="dxa"/>
          <w:left w:w="15" w:type="dxa"/>
          <w:bottom w:w="15" w:type="dxa"/>
          <w:right w:w="15" w:type="dxa"/>
        </w:tblCellMar>
        <w:tblLook w:val="04A0" w:firstRow="1" w:lastRow="0" w:firstColumn="1" w:lastColumn="0" w:noHBand="0" w:noVBand="1"/>
      </w:tblPr>
      <w:tblGrid>
        <w:gridCol w:w="6023"/>
        <w:gridCol w:w="5111"/>
        <w:gridCol w:w="386"/>
      </w:tblGrid>
      <w:tr w:rsidR="0035426E" w:rsidRPr="0035426E" w14:paraId="541B22E0" w14:textId="77777777">
        <w:tc>
          <w:tcPr>
            <w:tcW w:w="0" w:type="auto"/>
            <w:gridSpan w:val="3"/>
            <w:tcBorders>
              <w:top w:val="nil"/>
              <w:left w:val="nil"/>
              <w:bottom w:val="nil"/>
              <w:right w:val="nil"/>
            </w:tcBorders>
            <w:vAlign w:val="center"/>
            <w:hideMark/>
          </w:tcPr>
          <w:p w14:paraId="1AE81284"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Laboratory studies:</w:t>
            </w:r>
          </w:p>
        </w:tc>
      </w:tr>
      <w:tr w:rsidR="0035426E" w:rsidRPr="0035426E" w14:paraId="0B3D9F85" w14:textId="77777777">
        <w:tc>
          <w:tcPr>
            <w:tcW w:w="0" w:type="auto"/>
            <w:tcBorders>
              <w:left w:val="nil"/>
              <w:right w:val="nil"/>
            </w:tcBorders>
            <w:hideMark/>
          </w:tcPr>
          <w:p w14:paraId="3015CBCF"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Platelet count</w:t>
            </w:r>
          </w:p>
        </w:tc>
        <w:tc>
          <w:tcPr>
            <w:tcW w:w="0" w:type="auto"/>
            <w:tcBorders>
              <w:right w:val="nil"/>
            </w:tcBorders>
            <w:hideMark/>
          </w:tcPr>
          <w:p w14:paraId="4F389545"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411,000/</w:t>
            </w:r>
            <w:proofErr w:type="spellStart"/>
            <w:r w:rsidRPr="0035426E">
              <w:rPr>
                <w:rFonts w:ascii="Calibri" w:eastAsia="Times New Roman" w:hAnsi="Calibri" w:cs="Calibri"/>
                <w:kern w:val="0"/>
                <w:sz w:val="20"/>
                <w:szCs w:val="20"/>
                <w14:ligatures w14:val="none"/>
              </w:rPr>
              <w:t>μL</w:t>
            </w:r>
            <w:proofErr w:type="spellEnd"/>
            <w:r w:rsidRPr="0035426E">
              <w:rPr>
                <w:rFonts w:ascii="Calibri" w:eastAsia="Times New Roman" w:hAnsi="Calibri" w:cs="Calibri"/>
                <w:kern w:val="0"/>
                <w:sz w:val="20"/>
                <w:szCs w:val="20"/>
                <w14:ligatures w14:val="none"/>
              </w:rPr>
              <w:t xml:space="preserve"> (411 × 10</w:t>
            </w:r>
            <w:r w:rsidRPr="0035426E">
              <w:rPr>
                <w:rFonts w:ascii="Calibri" w:eastAsia="Times New Roman" w:hAnsi="Calibri" w:cs="Calibri"/>
                <w:kern w:val="0"/>
                <w:sz w:val="20"/>
                <w:szCs w:val="20"/>
                <w:vertAlign w:val="superscript"/>
                <w14:ligatures w14:val="none"/>
              </w:rPr>
              <w:t>9</w:t>
            </w:r>
            <w:r w:rsidRPr="0035426E">
              <w:rPr>
                <w:rFonts w:ascii="Calibri" w:eastAsia="Times New Roman" w:hAnsi="Calibri" w:cs="Calibri"/>
                <w:kern w:val="0"/>
                <w:sz w:val="20"/>
                <w:szCs w:val="20"/>
                <w14:ligatures w14:val="none"/>
              </w:rPr>
              <w:t>/L)</w:t>
            </w:r>
          </w:p>
        </w:tc>
        <w:tc>
          <w:tcPr>
            <w:tcW w:w="0" w:type="auto"/>
            <w:tcBorders>
              <w:left w:val="nil"/>
              <w:right w:val="nil"/>
            </w:tcBorders>
            <w:hideMark/>
          </w:tcPr>
          <w:p w14:paraId="48C36670"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3B78C527" w14:textId="77777777">
        <w:tc>
          <w:tcPr>
            <w:tcW w:w="0" w:type="auto"/>
            <w:tcBorders>
              <w:left w:val="nil"/>
              <w:right w:val="nil"/>
            </w:tcBorders>
            <w:hideMark/>
          </w:tcPr>
          <w:p w14:paraId="561D7A12"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Albumin</w:t>
            </w:r>
          </w:p>
        </w:tc>
        <w:tc>
          <w:tcPr>
            <w:tcW w:w="0" w:type="auto"/>
            <w:tcBorders>
              <w:right w:val="nil"/>
            </w:tcBorders>
            <w:hideMark/>
          </w:tcPr>
          <w:p w14:paraId="43E0ECB1"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4.3 g/dL (43 g/L)</w:t>
            </w:r>
          </w:p>
        </w:tc>
        <w:tc>
          <w:tcPr>
            <w:tcW w:w="0" w:type="auto"/>
            <w:tcBorders>
              <w:left w:val="nil"/>
              <w:right w:val="nil"/>
            </w:tcBorders>
            <w:hideMark/>
          </w:tcPr>
          <w:p w14:paraId="26E50836"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2A57ED39" w14:textId="77777777">
        <w:tc>
          <w:tcPr>
            <w:tcW w:w="0" w:type="auto"/>
            <w:tcBorders>
              <w:left w:val="nil"/>
              <w:right w:val="nil"/>
            </w:tcBorders>
            <w:hideMark/>
          </w:tcPr>
          <w:p w14:paraId="2330323A"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Alkaline phosphatase</w:t>
            </w:r>
          </w:p>
        </w:tc>
        <w:tc>
          <w:tcPr>
            <w:tcW w:w="0" w:type="auto"/>
            <w:tcBorders>
              <w:right w:val="nil"/>
            </w:tcBorders>
            <w:hideMark/>
          </w:tcPr>
          <w:p w14:paraId="0B03925F"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598 U/L</w:t>
            </w:r>
          </w:p>
        </w:tc>
        <w:tc>
          <w:tcPr>
            <w:tcW w:w="0" w:type="auto"/>
            <w:tcBorders>
              <w:left w:val="nil"/>
              <w:right w:val="nil"/>
            </w:tcBorders>
            <w:hideMark/>
          </w:tcPr>
          <w:p w14:paraId="2312FBF0" w14:textId="77777777" w:rsidR="0035426E" w:rsidRPr="0035426E" w:rsidRDefault="0035426E" w:rsidP="0035426E">
            <w:pPr>
              <w:shd w:val="clear" w:color="auto" w:fill="DEE2E6"/>
              <w:spacing w:after="0" w:line="240" w:lineRule="auto"/>
              <w:jc w:val="center"/>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H</w:t>
            </w:r>
          </w:p>
        </w:tc>
      </w:tr>
      <w:tr w:rsidR="0035426E" w:rsidRPr="0035426E" w14:paraId="46DBFBCB" w14:textId="77777777">
        <w:tc>
          <w:tcPr>
            <w:tcW w:w="0" w:type="auto"/>
            <w:tcBorders>
              <w:left w:val="nil"/>
              <w:right w:val="nil"/>
            </w:tcBorders>
            <w:hideMark/>
          </w:tcPr>
          <w:p w14:paraId="0A345EAE"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Alanine aminotransferase</w:t>
            </w:r>
          </w:p>
        </w:tc>
        <w:tc>
          <w:tcPr>
            <w:tcW w:w="0" w:type="auto"/>
            <w:tcBorders>
              <w:right w:val="nil"/>
            </w:tcBorders>
            <w:hideMark/>
          </w:tcPr>
          <w:p w14:paraId="1620EAD1"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22 U/L</w:t>
            </w:r>
          </w:p>
        </w:tc>
        <w:tc>
          <w:tcPr>
            <w:tcW w:w="0" w:type="auto"/>
            <w:tcBorders>
              <w:left w:val="nil"/>
              <w:right w:val="nil"/>
            </w:tcBorders>
            <w:hideMark/>
          </w:tcPr>
          <w:p w14:paraId="07DD10D9"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47C26FF5" w14:textId="77777777">
        <w:tc>
          <w:tcPr>
            <w:tcW w:w="0" w:type="auto"/>
            <w:tcBorders>
              <w:left w:val="nil"/>
              <w:right w:val="nil"/>
            </w:tcBorders>
            <w:hideMark/>
          </w:tcPr>
          <w:p w14:paraId="005785F9"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Aspartate aminotransferase</w:t>
            </w:r>
          </w:p>
        </w:tc>
        <w:tc>
          <w:tcPr>
            <w:tcW w:w="0" w:type="auto"/>
            <w:tcBorders>
              <w:right w:val="nil"/>
            </w:tcBorders>
            <w:hideMark/>
          </w:tcPr>
          <w:p w14:paraId="38BB5229"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24 U/L</w:t>
            </w:r>
          </w:p>
        </w:tc>
        <w:tc>
          <w:tcPr>
            <w:tcW w:w="0" w:type="auto"/>
            <w:tcBorders>
              <w:left w:val="nil"/>
              <w:right w:val="nil"/>
            </w:tcBorders>
            <w:hideMark/>
          </w:tcPr>
          <w:p w14:paraId="054BCB49"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2DED44B8" w14:textId="77777777">
        <w:tc>
          <w:tcPr>
            <w:tcW w:w="0" w:type="auto"/>
            <w:tcBorders>
              <w:left w:val="nil"/>
              <w:right w:val="nil"/>
            </w:tcBorders>
            <w:hideMark/>
          </w:tcPr>
          <w:p w14:paraId="094DEBF0"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Bilirubin</w:t>
            </w:r>
          </w:p>
        </w:tc>
        <w:tc>
          <w:tcPr>
            <w:tcW w:w="0" w:type="auto"/>
            <w:tcBorders>
              <w:right w:val="nil"/>
            </w:tcBorders>
            <w:hideMark/>
          </w:tcPr>
          <w:p w14:paraId="0D61192D"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c>
          <w:tcPr>
            <w:tcW w:w="0" w:type="auto"/>
            <w:tcBorders>
              <w:left w:val="nil"/>
              <w:right w:val="nil"/>
            </w:tcBorders>
            <w:hideMark/>
          </w:tcPr>
          <w:p w14:paraId="610F95A8"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554090D2" w14:textId="77777777">
        <w:tc>
          <w:tcPr>
            <w:tcW w:w="0" w:type="auto"/>
            <w:tcBorders>
              <w:left w:val="nil"/>
              <w:right w:val="nil"/>
            </w:tcBorders>
            <w:hideMark/>
          </w:tcPr>
          <w:p w14:paraId="027215E6"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Total</w:t>
            </w:r>
          </w:p>
        </w:tc>
        <w:tc>
          <w:tcPr>
            <w:tcW w:w="0" w:type="auto"/>
            <w:tcBorders>
              <w:right w:val="nil"/>
            </w:tcBorders>
            <w:hideMark/>
          </w:tcPr>
          <w:p w14:paraId="6DBEBDDE"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1.0 mg/dL (17.1 µmol/L)</w:t>
            </w:r>
          </w:p>
        </w:tc>
        <w:tc>
          <w:tcPr>
            <w:tcW w:w="0" w:type="auto"/>
            <w:tcBorders>
              <w:left w:val="nil"/>
              <w:right w:val="nil"/>
            </w:tcBorders>
            <w:hideMark/>
          </w:tcPr>
          <w:p w14:paraId="4986D906"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5DF3DE1D" w14:textId="77777777">
        <w:tc>
          <w:tcPr>
            <w:tcW w:w="0" w:type="auto"/>
            <w:tcBorders>
              <w:left w:val="nil"/>
              <w:right w:val="nil"/>
            </w:tcBorders>
            <w:hideMark/>
          </w:tcPr>
          <w:p w14:paraId="2900B9BB"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Direct</w:t>
            </w:r>
          </w:p>
        </w:tc>
        <w:tc>
          <w:tcPr>
            <w:tcW w:w="0" w:type="auto"/>
            <w:tcBorders>
              <w:right w:val="nil"/>
            </w:tcBorders>
            <w:hideMark/>
          </w:tcPr>
          <w:p w14:paraId="1BE214ED"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0.4 mg/dL (6.8 µmol/L)</w:t>
            </w:r>
          </w:p>
        </w:tc>
        <w:tc>
          <w:tcPr>
            <w:tcW w:w="0" w:type="auto"/>
            <w:tcBorders>
              <w:left w:val="nil"/>
              <w:right w:val="nil"/>
            </w:tcBorders>
            <w:hideMark/>
          </w:tcPr>
          <w:p w14:paraId="4B498158" w14:textId="77777777" w:rsidR="0035426E" w:rsidRPr="0035426E" w:rsidRDefault="0035426E" w:rsidP="0035426E">
            <w:pPr>
              <w:shd w:val="clear" w:color="auto" w:fill="DEE2E6"/>
              <w:spacing w:after="0" w:line="240" w:lineRule="auto"/>
              <w:jc w:val="center"/>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H</w:t>
            </w:r>
          </w:p>
        </w:tc>
      </w:tr>
      <w:tr w:rsidR="0035426E" w:rsidRPr="0035426E" w14:paraId="1ED24FD7" w14:textId="77777777">
        <w:tc>
          <w:tcPr>
            <w:tcW w:w="0" w:type="auto"/>
            <w:tcBorders>
              <w:left w:val="nil"/>
              <w:right w:val="nil"/>
            </w:tcBorders>
            <w:hideMark/>
          </w:tcPr>
          <w:p w14:paraId="6F9CF3DF"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u w:val="single"/>
                <w:bdr w:val="none" w:sz="0" w:space="0" w:color="auto" w:frame="1"/>
                <w14:ligatures w14:val="none"/>
              </w:rPr>
              <w:t>Thyroid-stimulating hormone</w:t>
            </w:r>
          </w:p>
        </w:tc>
        <w:tc>
          <w:tcPr>
            <w:tcW w:w="0" w:type="auto"/>
            <w:tcBorders>
              <w:right w:val="nil"/>
            </w:tcBorders>
            <w:hideMark/>
          </w:tcPr>
          <w:p w14:paraId="73449D15"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 xml:space="preserve">2.1 µU/mL (2.1 </w:t>
            </w:r>
            <w:proofErr w:type="spellStart"/>
            <w:r w:rsidRPr="0035426E">
              <w:rPr>
                <w:rFonts w:ascii="Calibri" w:eastAsia="Times New Roman" w:hAnsi="Calibri" w:cs="Calibri"/>
                <w:kern w:val="0"/>
                <w:sz w:val="20"/>
                <w:szCs w:val="20"/>
                <w14:ligatures w14:val="none"/>
              </w:rPr>
              <w:t>mU</w:t>
            </w:r>
            <w:proofErr w:type="spellEnd"/>
            <w:r w:rsidRPr="0035426E">
              <w:rPr>
                <w:rFonts w:ascii="Calibri" w:eastAsia="Times New Roman" w:hAnsi="Calibri" w:cs="Calibri"/>
                <w:kern w:val="0"/>
                <w:sz w:val="20"/>
                <w:szCs w:val="20"/>
                <w14:ligatures w14:val="none"/>
              </w:rPr>
              <w:t>/L)</w:t>
            </w:r>
          </w:p>
        </w:tc>
        <w:tc>
          <w:tcPr>
            <w:tcW w:w="0" w:type="auto"/>
            <w:tcBorders>
              <w:left w:val="nil"/>
              <w:right w:val="nil"/>
            </w:tcBorders>
            <w:hideMark/>
          </w:tcPr>
          <w:p w14:paraId="2A4B1E33"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63138E55" w14:textId="77777777">
        <w:tc>
          <w:tcPr>
            <w:tcW w:w="0" w:type="auto"/>
            <w:tcBorders>
              <w:left w:val="nil"/>
              <w:right w:val="nil"/>
            </w:tcBorders>
            <w:hideMark/>
          </w:tcPr>
          <w:p w14:paraId="054D9F42"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Free </w:t>
            </w:r>
            <w:r w:rsidRPr="0035426E">
              <w:rPr>
                <w:rFonts w:ascii="Calibri" w:eastAsia="Times New Roman" w:hAnsi="Calibri" w:cs="Calibri"/>
                <w:kern w:val="0"/>
                <w:sz w:val="20"/>
                <w:szCs w:val="20"/>
                <w:u w:val="single"/>
                <w:bdr w:val="none" w:sz="0" w:space="0" w:color="auto" w:frame="1"/>
                <w14:ligatures w14:val="none"/>
              </w:rPr>
              <w:t>thyroxine</w:t>
            </w:r>
          </w:p>
        </w:tc>
        <w:tc>
          <w:tcPr>
            <w:tcW w:w="0" w:type="auto"/>
            <w:tcBorders>
              <w:right w:val="nil"/>
            </w:tcBorders>
            <w:hideMark/>
          </w:tcPr>
          <w:p w14:paraId="0DE36AA4"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 xml:space="preserve">1.8 ng/dL (23.2 </w:t>
            </w:r>
            <w:proofErr w:type="spellStart"/>
            <w:r w:rsidRPr="0035426E">
              <w:rPr>
                <w:rFonts w:ascii="Calibri" w:eastAsia="Times New Roman" w:hAnsi="Calibri" w:cs="Calibri"/>
                <w:kern w:val="0"/>
                <w:sz w:val="20"/>
                <w:szCs w:val="20"/>
                <w14:ligatures w14:val="none"/>
              </w:rPr>
              <w:t>pmol</w:t>
            </w:r>
            <w:proofErr w:type="spellEnd"/>
            <w:r w:rsidRPr="0035426E">
              <w:rPr>
                <w:rFonts w:ascii="Calibri" w:eastAsia="Times New Roman" w:hAnsi="Calibri" w:cs="Calibri"/>
                <w:kern w:val="0"/>
                <w:sz w:val="20"/>
                <w:szCs w:val="20"/>
                <w14:ligatures w14:val="none"/>
              </w:rPr>
              <w:t>/L)</w:t>
            </w:r>
          </w:p>
        </w:tc>
        <w:tc>
          <w:tcPr>
            <w:tcW w:w="0" w:type="auto"/>
            <w:tcBorders>
              <w:left w:val="nil"/>
              <w:right w:val="nil"/>
            </w:tcBorders>
            <w:hideMark/>
          </w:tcPr>
          <w:p w14:paraId="687EC9E0"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r w:rsidR="0035426E" w:rsidRPr="0035426E" w14:paraId="084B4D54" w14:textId="77777777">
        <w:tc>
          <w:tcPr>
            <w:tcW w:w="0" w:type="auto"/>
            <w:tcBorders>
              <w:left w:val="nil"/>
              <w:right w:val="nil"/>
            </w:tcBorders>
            <w:hideMark/>
          </w:tcPr>
          <w:p w14:paraId="00484BAB"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Hepatitis C virus antibody</w:t>
            </w:r>
          </w:p>
        </w:tc>
        <w:tc>
          <w:tcPr>
            <w:tcW w:w="0" w:type="auto"/>
            <w:tcBorders>
              <w:right w:val="nil"/>
            </w:tcBorders>
            <w:hideMark/>
          </w:tcPr>
          <w:p w14:paraId="708B8B1A"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Negative</w:t>
            </w:r>
          </w:p>
        </w:tc>
        <w:tc>
          <w:tcPr>
            <w:tcW w:w="0" w:type="auto"/>
            <w:tcBorders>
              <w:left w:val="nil"/>
              <w:right w:val="nil"/>
            </w:tcBorders>
            <w:hideMark/>
          </w:tcPr>
          <w:p w14:paraId="34645630" w14:textId="77777777" w:rsidR="0035426E" w:rsidRPr="0035426E" w:rsidRDefault="0035426E" w:rsidP="0035426E">
            <w:pPr>
              <w:spacing w:after="0" w:line="240" w:lineRule="auto"/>
              <w:rPr>
                <w:rFonts w:ascii="Calibri" w:eastAsia="Times New Roman" w:hAnsi="Calibri" w:cs="Calibri"/>
                <w:kern w:val="0"/>
                <w:sz w:val="20"/>
                <w:szCs w:val="20"/>
                <w14:ligatures w14:val="none"/>
              </w:rPr>
            </w:pPr>
          </w:p>
        </w:tc>
      </w:tr>
    </w:tbl>
    <w:p w14:paraId="4BE2337B" w14:textId="77777777" w:rsidR="0035426E" w:rsidRPr="0035426E" w:rsidRDefault="0035426E" w:rsidP="005C5629">
      <w:pPr>
        <w:spacing w:after="100" w:afterAutospacing="1"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Abdominal ultrasound shows a normal liver, gallbladder, and spleen. There is no biliary dilation; the common bile duct measures 3 mm in diameter.</w:t>
      </w:r>
    </w:p>
    <w:p w14:paraId="3FDDD6B7" w14:textId="17C4A3C0" w:rsidR="0035426E" w:rsidRPr="0035426E" w:rsidRDefault="0035426E" w:rsidP="005C5629">
      <w:pPr>
        <w:spacing w:after="0" w:line="240" w:lineRule="auto"/>
        <w:rPr>
          <w:rFonts w:ascii="Calibri" w:eastAsia="Times New Roman" w:hAnsi="Calibri" w:cs="Calibri"/>
          <w:vanish/>
          <w:kern w:val="0"/>
          <w:sz w:val="20"/>
          <w:szCs w:val="20"/>
          <w14:ligatures w14:val="none"/>
        </w:rPr>
      </w:pPr>
      <w:r w:rsidRPr="0035426E">
        <w:rPr>
          <w:rFonts w:ascii="Calibri" w:eastAsia="Times New Roman" w:hAnsi="Calibri" w:cs="Calibri"/>
          <w:vanish/>
          <w:kern w:val="0"/>
          <w:sz w:val="20"/>
          <w:szCs w:val="20"/>
          <w14:ligatures w14:val="none"/>
        </w:rPr>
        <w:t>Top of Form</w:t>
      </w:r>
    </w:p>
    <w:p w14:paraId="3C830CF0" w14:textId="77777777" w:rsidR="0035426E" w:rsidRPr="0035426E" w:rsidRDefault="0035426E" w:rsidP="005C5629">
      <w:pPr>
        <w:spacing w:after="100" w:afterAutospacing="1"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14:ligatures w14:val="none"/>
        </w:rPr>
        <w:t>Which of the following is the most likely diagnosis?</w:t>
      </w:r>
    </w:p>
    <w:p w14:paraId="0A942098" w14:textId="784F103F" w:rsidR="0035426E" w:rsidRPr="0035426E" w:rsidRDefault="0035426E" w:rsidP="005C5629">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A. </w:t>
      </w:r>
      <w:r w:rsidRPr="0035426E">
        <w:rPr>
          <w:rFonts w:ascii="Calibri" w:eastAsia="Times New Roman" w:hAnsi="Calibri" w:cs="Calibri"/>
          <w:color w:val="181D23"/>
          <w:kern w:val="0"/>
          <w:sz w:val="20"/>
          <w:szCs w:val="20"/>
          <w14:ligatures w14:val="none"/>
        </w:rPr>
        <w:t>Hypothyroidism</w:t>
      </w:r>
    </w:p>
    <w:p w14:paraId="42FA6885" w14:textId="0C2F3DB9" w:rsidR="0035426E" w:rsidRPr="0035426E" w:rsidRDefault="0035426E" w:rsidP="005C5629">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B. </w:t>
      </w:r>
      <w:r w:rsidRPr="0035426E">
        <w:rPr>
          <w:rFonts w:ascii="Calibri" w:eastAsia="Times New Roman" w:hAnsi="Calibri" w:cs="Calibri"/>
          <w:color w:val="181D23"/>
          <w:kern w:val="0"/>
          <w:sz w:val="20"/>
          <w:szCs w:val="20"/>
          <w14:ligatures w14:val="none"/>
        </w:rPr>
        <w:t>Primary biliary cholangitis</w:t>
      </w:r>
    </w:p>
    <w:p w14:paraId="61821B07" w14:textId="0B5F86DA" w:rsidR="0035426E" w:rsidRPr="0035426E" w:rsidRDefault="0035426E" w:rsidP="005C5629">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C. </w:t>
      </w:r>
      <w:r w:rsidRPr="0035426E">
        <w:rPr>
          <w:rFonts w:ascii="Calibri" w:eastAsia="Times New Roman" w:hAnsi="Calibri" w:cs="Calibri"/>
          <w:color w:val="181D23"/>
          <w:kern w:val="0"/>
          <w:sz w:val="20"/>
          <w:szCs w:val="20"/>
          <w14:ligatures w14:val="none"/>
        </w:rPr>
        <w:t>Primary sclerosing cholangitis</w:t>
      </w:r>
    </w:p>
    <w:p w14:paraId="455BD47E" w14:textId="6AC505DA" w:rsidR="0035426E" w:rsidRPr="0035426E" w:rsidRDefault="0035426E" w:rsidP="005C5629">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D. </w:t>
      </w:r>
      <w:proofErr w:type="spellStart"/>
      <w:r w:rsidRPr="0035426E">
        <w:rPr>
          <w:rFonts w:ascii="Calibri" w:eastAsia="Times New Roman" w:hAnsi="Calibri" w:cs="Calibri"/>
          <w:color w:val="181D23"/>
          <w:kern w:val="0"/>
          <w:sz w:val="20"/>
          <w:szCs w:val="20"/>
          <w14:ligatures w14:val="none"/>
        </w:rPr>
        <w:t>Steatotic</w:t>
      </w:r>
      <w:proofErr w:type="spellEnd"/>
      <w:r w:rsidRPr="0035426E">
        <w:rPr>
          <w:rFonts w:ascii="Calibri" w:eastAsia="Times New Roman" w:hAnsi="Calibri" w:cs="Calibri"/>
          <w:color w:val="181D23"/>
          <w:kern w:val="0"/>
          <w:sz w:val="20"/>
          <w:szCs w:val="20"/>
          <w14:ligatures w14:val="none"/>
        </w:rPr>
        <w:t xml:space="preserve"> liver disease</w:t>
      </w:r>
    </w:p>
    <w:p w14:paraId="6EF3BE1D" w14:textId="77777777" w:rsidR="0035426E" w:rsidRPr="0035426E" w:rsidRDefault="0035426E" w:rsidP="005C5629">
      <w:pPr>
        <w:spacing w:after="0" w:line="240" w:lineRule="auto"/>
        <w:jc w:val="center"/>
        <w:rPr>
          <w:rFonts w:ascii="Calibri" w:eastAsia="Times New Roman" w:hAnsi="Calibri" w:cs="Calibri"/>
          <w:vanish/>
          <w:kern w:val="0"/>
          <w:sz w:val="20"/>
          <w:szCs w:val="20"/>
          <w14:ligatures w14:val="none"/>
        </w:rPr>
      </w:pPr>
      <w:r w:rsidRPr="0035426E">
        <w:rPr>
          <w:rFonts w:ascii="Calibri" w:eastAsia="Times New Roman" w:hAnsi="Calibri" w:cs="Calibri"/>
          <w:vanish/>
          <w:kern w:val="0"/>
          <w:sz w:val="20"/>
          <w:szCs w:val="20"/>
          <w14:ligatures w14:val="none"/>
        </w:rPr>
        <w:t>Bottom of Form</w:t>
      </w:r>
    </w:p>
    <w:p w14:paraId="2CC651E9" w14:textId="77777777" w:rsidR="00AC0FC6" w:rsidRPr="005C5629" w:rsidRDefault="00AC0FC6" w:rsidP="005C5629">
      <w:pPr>
        <w:rPr>
          <w:rFonts w:ascii="Calibri" w:hAnsi="Calibri" w:cs="Calibri"/>
          <w:sz w:val="20"/>
          <w:szCs w:val="20"/>
        </w:rPr>
      </w:pPr>
    </w:p>
    <w:p w14:paraId="3BA9980E" w14:textId="64B4099B" w:rsidR="0035426E" w:rsidRPr="0035426E" w:rsidRDefault="005C5629" w:rsidP="005C5629">
      <w:pPr>
        <w:spacing w:after="0" w:line="240" w:lineRule="auto"/>
        <w:jc w:val="center"/>
        <w:rPr>
          <w:rFonts w:ascii="Calibri" w:eastAsia="Times New Roman" w:hAnsi="Calibri" w:cs="Calibri"/>
          <w:vanish/>
          <w:kern w:val="0"/>
          <w:sz w:val="20"/>
          <w:szCs w:val="20"/>
          <w14:ligatures w14:val="none"/>
        </w:rPr>
      </w:pPr>
      <w:r>
        <w:rPr>
          <w:rFonts w:ascii="Calibri" w:eastAsia="Times New Roman" w:hAnsi="Calibri" w:cs="Calibri"/>
          <w:kern w:val="0"/>
          <w:sz w:val="20"/>
          <w:szCs w:val="20"/>
          <w14:ligatures w14:val="none"/>
        </w:rPr>
        <w:t xml:space="preserve">2. </w:t>
      </w:r>
      <w:r w:rsidR="0035426E" w:rsidRPr="0035426E">
        <w:rPr>
          <w:rFonts w:ascii="Calibri" w:eastAsia="Times New Roman" w:hAnsi="Calibri" w:cs="Calibri"/>
          <w:vanish/>
          <w:kern w:val="0"/>
          <w:sz w:val="20"/>
          <w:szCs w:val="20"/>
          <w14:ligatures w14:val="none"/>
        </w:rPr>
        <w:t>Bottom of Form</w:t>
      </w:r>
    </w:p>
    <w:p w14:paraId="55DEE9AE" w14:textId="77777777" w:rsidR="005C5629" w:rsidRPr="005C5629" w:rsidRDefault="005C5629" w:rsidP="005C5629">
      <w:pPr>
        <w:spacing w:after="100" w:afterAutospacing="1"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A 43-year-old woman is evaluated after testing positive for hepatitis B surface antigen on routine screening. She is asymptomatic. She recently emigrated from China. She does not have a family history of liver cancer. She has no other medical problems and takes no medications.</w:t>
      </w:r>
    </w:p>
    <w:p w14:paraId="63B79F4F" w14:textId="77777777" w:rsidR="005C5629" w:rsidRPr="005C5629" w:rsidRDefault="005C5629" w:rsidP="005C5629">
      <w:pPr>
        <w:spacing w:after="100" w:afterAutospacing="1"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On physical examination, vital signs are normal.</w:t>
      </w:r>
    </w:p>
    <w:tbl>
      <w:tblPr>
        <w:tblW w:w="11520" w:type="dxa"/>
        <w:tblCellMar>
          <w:top w:w="15" w:type="dxa"/>
          <w:left w:w="15" w:type="dxa"/>
          <w:bottom w:w="15" w:type="dxa"/>
          <w:right w:w="15" w:type="dxa"/>
        </w:tblCellMar>
        <w:tblLook w:val="04A0" w:firstRow="1" w:lastRow="0" w:firstColumn="1" w:lastColumn="0" w:noHBand="0" w:noVBand="1"/>
      </w:tblPr>
      <w:tblGrid>
        <w:gridCol w:w="8350"/>
        <w:gridCol w:w="3170"/>
      </w:tblGrid>
      <w:tr w:rsidR="005C5629" w:rsidRPr="005C5629" w14:paraId="1F2C08BB" w14:textId="77777777">
        <w:tc>
          <w:tcPr>
            <w:tcW w:w="0" w:type="auto"/>
            <w:gridSpan w:val="2"/>
            <w:tcBorders>
              <w:top w:val="nil"/>
              <w:left w:val="nil"/>
              <w:bottom w:val="nil"/>
              <w:right w:val="nil"/>
            </w:tcBorders>
            <w:vAlign w:val="center"/>
            <w:hideMark/>
          </w:tcPr>
          <w:p w14:paraId="16679782"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Laboratory studies:</w:t>
            </w:r>
          </w:p>
        </w:tc>
      </w:tr>
      <w:tr w:rsidR="005C5629" w:rsidRPr="005C5629" w14:paraId="1E19F97B" w14:textId="77777777">
        <w:tc>
          <w:tcPr>
            <w:tcW w:w="0" w:type="auto"/>
            <w:tcBorders>
              <w:left w:val="nil"/>
              <w:right w:val="nil"/>
            </w:tcBorders>
            <w:hideMark/>
          </w:tcPr>
          <w:p w14:paraId="7757B1BE"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Complete blood count</w:t>
            </w:r>
          </w:p>
        </w:tc>
        <w:tc>
          <w:tcPr>
            <w:tcW w:w="0" w:type="auto"/>
            <w:tcBorders>
              <w:right w:val="nil"/>
            </w:tcBorders>
            <w:hideMark/>
          </w:tcPr>
          <w:p w14:paraId="7A4AAE9F"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Normal</w:t>
            </w:r>
          </w:p>
        </w:tc>
      </w:tr>
      <w:tr w:rsidR="005C5629" w:rsidRPr="005C5629" w14:paraId="27BEE2B5" w14:textId="77777777">
        <w:tc>
          <w:tcPr>
            <w:tcW w:w="0" w:type="auto"/>
            <w:tcBorders>
              <w:left w:val="nil"/>
              <w:right w:val="nil"/>
            </w:tcBorders>
            <w:hideMark/>
          </w:tcPr>
          <w:p w14:paraId="6584B6ED"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u w:val="single"/>
                <w:bdr w:val="none" w:sz="0" w:space="0" w:color="auto" w:frame="1"/>
                <w14:ligatures w14:val="none"/>
              </w:rPr>
              <w:t>Alanine aminotransferase</w:t>
            </w:r>
          </w:p>
        </w:tc>
        <w:tc>
          <w:tcPr>
            <w:tcW w:w="0" w:type="auto"/>
            <w:tcBorders>
              <w:right w:val="nil"/>
            </w:tcBorders>
            <w:hideMark/>
          </w:tcPr>
          <w:p w14:paraId="2F6A9ABC"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22 U/L</w:t>
            </w:r>
          </w:p>
        </w:tc>
      </w:tr>
      <w:tr w:rsidR="005C5629" w:rsidRPr="005C5629" w14:paraId="485AD24B" w14:textId="77777777">
        <w:tc>
          <w:tcPr>
            <w:tcW w:w="0" w:type="auto"/>
            <w:tcBorders>
              <w:left w:val="nil"/>
              <w:right w:val="nil"/>
            </w:tcBorders>
            <w:hideMark/>
          </w:tcPr>
          <w:p w14:paraId="610C0D5F"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Hepatitis B surface antigen</w:t>
            </w:r>
          </w:p>
        </w:tc>
        <w:tc>
          <w:tcPr>
            <w:tcW w:w="0" w:type="auto"/>
            <w:tcBorders>
              <w:right w:val="nil"/>
            </w:tcBorders>
            <w:hideMark/>
          </w:tcPr>
          <w:p w14:paraId="2669EAA0"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Positive</w:t>
            </w:r>
          </w:p>
        </w:tc>
      </w:tr>
      <w:tr w:rsidR="005C5629" w:rsidRPr="005C5629" w14:paraId="0416077E" w14:textId="77777777">
        <w:tc>
          <w:tcPr>
            <w:tcW w:w="0" w:type="auto"/>
            <w:tcBorders>
              <w:left w:val="nil"/>
              <w:right w:val="nil"/>
            </w:tcBorders>
            <w:hideMark/>
          </w:tcPr>
          <w:p w14:paraId="5F425CBD"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Hepatitis B surface antibody</w:t>
            </w:r>
          </w:p>
        </w:tc>
        <w:tc>
          <w:tcPr>
            <w:tcW w:w="0" w:type="auto"/>
            <w:tcBorders>
              <w:right w:val="nil"/>
            </w:tcBorders>
            <w:hideMark/>
          </w:tcPr>
          <w:p w14:paraId="0FECA22B"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Negative</w:t>
            </w:r>
          </w:p>
        </w:tc>
      </w:tr>
      <w:tr w:rsidR="005C5629" w:rsidRPr="005C5629" w14:paraId="78E4D5CC" w14:textId="77777777">
        <w:tc>
          <w:tcPr>
            <w:tcW w:w="0" w:type="auto"/>
            <w:tcBorders>
              <w:left w:val="nil"/>
              <w:right w:val="nil"/>
            </w:tcBorders>
            <w:hideMark/>
          </w:tcPr>
          <w:p w14:paraId="5C2A2545"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Hepatitis B e antigen</w:t>
            </w:r>
          </w:p>
        </w:tc>
        <w:tc>
          <w:tcPr>
            <w:tcW w:w="0" w:type="auto"/>
            <w:tcBorders>
              <w:right w:val="nil"/>
            </w:tcBorders>
            <w:hideMark/>
          </w:tcPr>
          <w:p w14:paraId="57E4A042"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Negative</w:t>
            </w:r>
          </w:p>
        </w:tc>
      </w:tr>
      <w:tr w:rsidR="005C5629" w:rsidRPr="005C5629" w14:paraId="3E5132EF" w14:textId="77777777">
        <w:tc>
          <w:tcPr>
            <w:tcW w:w="0" w:type="auto"/>
            <w:tcBorders>
              <w:left w:val="nil"/>
              <w:right w:val="nil"/>
            </w:tcBorders>
            <w:hideMark/>
          </w:tcPr>
          <w:p w14:paraId="7DEADA6F"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Hepatitis B e antibody</w:t>
            </w:r>
          </w:p>
        </w:tc>
        <w:tc>
          <w:tcPr>
            <w:tcW w:w="0" w:type="auto"/>
            <w:tcBorders>
              <w:right w:val="nil"/>
            </w:tcBorders>
            <w:hideMark/>
          </w:tcPr>
          <w:p w14:paraId="35CAC0BF"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Positive</w:t>
            </w:r>
          </w:p>
        </w:tc>
      </w:tr>
      <w:tr w:rsidR="005C5629" w:rsidRPr="005C5629" w14:paraId="503C58B3" w14:textId="77777777">
        <w:tc>
          <w:tcPr>
            <w:tcW w:w="0" w:type="auto"/>
            <w:tcBorders>
              <w:left w:val="nil"/>
              <w:right w:val="nil"/>
            </w:tcBorders>
            <w:hideMark/>
          </w:tcPr>
          <w:p w14:paraId="4C1BC29B"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Hepatitis B virus DNA</w:t>
            </w:r>
          </w:p>
        </w:tc>
        <w:tc>
          <w:tcPr>
            <w:tcW w:w="0" w:type="auto"/>
            <w:tcBorders>
              <w:right w:val="nil"/>
            </w:tcBorders>
            <w:hideMark/>
          </w:tcPr>
          <w:p w14:paraId="60058E98" w14:textId="77777777" w:rsidR="005C5629" w:rsidRPr="005C5629" w:rsidRDefault="005C5629" w:rsidP="005C5629">
            <w:pPr>
              <w:spacing w:after="0"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160 IU/mL</w:t>
            </w:r>
          </w:p>
        </w:tc>
      </w:tr>
    </w:tbl>
    <w:p w14:paraId="3623B20E" w14:textId="77777777" w:rsidR="005C5629" w:rsidRPr="005C5629" w:rsidRDefault="005C5629" w:rsidP="005C5629">
      <w:pPr>
        <w:spacing w:after="100" w:afterAutospacing="1"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Her Fibrosis-4 score is low.</w:t>
      </w:r>
    </w:p>
    <w:p w14:paraId="12729390" w14:textId="77777777" w:rsidR="005C5629" w:rsidRPr="005C5629" w:rsidRDefault="005C5629" w:rsidP="005C5629">
      <w:pPr>
        <w:spacing w:after="100" w:afterAutospacing="1"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Abdominal ultrasound shows a normal-appearing liver and spleen without free fluid.</w:t>
      </w:r>
    </w:p>
    <w:p w14:paraId="5093B1EF" w14:textId="77777777" w:rsidR="005C5629" w:rsidRPr="005C5629" w:rsidRDefault="005C5629" w:rsidP="005C5629">
      <w:pPr>
        <w:pBdr>
          <w:bottom w:val="single" w:sz="6" w:space="1" w:color="auto"/>
        </w:pBdr>
        <w:spacing w:after="0" w:line="240" w:lineRule="auto"/>
        <w:jc w:val="center"/>
        <w:rPr>
          <w:rFonts w:ascii="Calibri" w:eastAsia="Times New Roman" w:hAnsi="Calibri" w:cs="Calibri"/>
          <w:vanish/>
          <w:kern w:val="0"/>
          <w:sz w:val="20"/>
          <w:szCs w:val="20"/>
          <w14:ligatures w14:val="none"/>
        </w:rPr>
      </w:pPr>
      <w:r w:rsidRPr="005C5629">
        <w:rPr>
          <w:rFonts w:ascii="Calibri" w:eastAsia="Times New Roman" w:hAnsi="Calibri" w:cs="Calibri"/>
          <w:vanish/>
          <w:kern w:val="0"/>
          <w:sz w:val="20"/>
          <w:szCs w:val="20"/>
          <w14:ligatures w14:val="none"/>
        </w:rPr>
        <w:t>Top of Form</w:t>
      </w:r>
    </w:p>
    <w:p w14:paraId="4D1E079F" w14:textId="77777777" w:rsidR="005C5629" w:rsidRPr="005C5629" w:rsidRDefault="005C5629" w:rsidP="005C5629">
      <w:pPr>
        <w:spacing w:after="100" w:afterAutospacing="1" w:line="240" w:lineRule="auto"/>
        <w:rPr>
          <w:rFonts w:ascii="Calibri" w:eastAsia="Times New Roman" w:hAnsi="Calibri" w:cs="Calibri"/>
          <w:color w:val="181D23"/>
          <w:kern w:val="0"/>
          <w:sz w:val="20"/>
          <w:szCs w:val="20"/>
          <w14:ligatures w14:val="none"/>
        </w:rPr>
      </w:pPr>
      <w:r w:rsidRPr="005C5629">
        <w:rPr>
          <w:rFonts w:ascii="Calibri" w:eastAsia="Times New Roman" w:hAnsi="Calibri" w:cs="Calibri"/>
          <w:color w:val="181D23"/>
          <w:kern w:val="0"/>
          <w:sz w:val="20"/>
          <w:szCs w:val="20"/>
          <w14:ligatures w14:val="none"/>
        </w:rPr>
        <w:t>Which of the following is the most appropriate management?</w:t>
      </w:r>
    </w:p>
    <w:p w14:paraId="14174AE3" w14:textId="75D3BB90" w:rsidR="005C5629" w:rsidRPr="005C5629" w:rsidRDefault="005C5629" w:rsidP="005C5629">
      <w:pPr>
        <w:spacing w:after="0" w:line="240" w:lineRule="auto"/>
        <w:rPr>
          <w:rFonts w:ascii="Calibri" w:eastAsia="Times New Roman" w:hAnsi="Calibri" w:cs="Calibri"/>
          <w:color w:val="181D23"/>
          <w:kern w:val="0"/>
          <w:sz w:val="20"/>
          <w:szCs w:val="20"/>
          <w14:ligatures w14:val="none"/>
        </w:rPr>
      </w:pPr>
      <w:r w:rsidRPr="005C5629">
        <w:rPr>
          <w:rFonts w:ascii="Calibri" w:eastAsia="Times New Roman" w:hAnsi="Calibri" w:cs="Calibri"/>
          <w:color w:val="181D23"/>
          <w:kern w:val="0"/>
          <w:sz w:val="20"/>
          <w:szCs w:val="20"/>
          <w:bdr w:val="none" w:sz="0" w:space="0" w:color="auto" w:frame="1"/>
          <w14:ligatures w14:val="none"/>
        </w:rPr>
        <w:lastRenderedPageBreak/>
        <w:t>A. </w:t>
      </w:r>
      <w:r w:rsidRPr="005C5629">
        <w:rPr>
          <w:rFonts w:ascii="Calibri" w:eastAsia="Times New Roman" w:hAnsi="Calibri" w:cs="Calibri"/>
          <w:color w:val="181D23"/>
          <w:kern w:val="0"/>
          <w:sz w:val="20"/>
          <w:szCs w:val="20"/>
          <w14:ligatures w14:val="none"/>
        </w:rPr>
        <w:t>α-Fetoprotein measurement</w:t>
      </w:r>
    </w:p>
    <w:p w14:paraId="18DC9D1D" w14:textId="56CF7E45" w:rsidR="005C5629" w:rsidRPr="005C5629" w:rsidRDefault="005C5629" w:rsidP="005C5629">
      <w:pPr>
        <w:spacing w:after="0" w:line="240" w:lineRule="auto"/>
        <w:rPr>
          <w:rFonts w:ascii="Calibri" w:eastAsia="Times New Roman" w:hAnsi="Calibri" w:cs="Calibri"/>
          <w:color w:val="181D23"/>
          <w:kern w:val="0"/>
          <w:sz w:val="20"/>
          <w:szCs w:val="20"/>
          <w14:ligatures w14:val="none"/>
        </w:rPr>
      </w:pPr>
      <w:r w:rsidRPr="005C5629">
        <w:rPr>
          <w:rFonts w:ascii="Calibri" w:eastAsia="Times New Roman" w:hAnsi="Calibri" w:cs="Calibri"/>
          <w:color w:val="181D23"/>
          <w:kern w:val="0"/>
          <w:sz w:val="20"/>
          <w:szCs w:val="20"/>
          <w:bdr w:val="none" w:sz="0" w:space="0" w:color="auto" w:frame="1"/>
          <w14:ligatures w14:val="none"/>
        </w:rPr>
        <w:t>B. </w:t>
      </w:r>
      <w:r w:rsidRPr="005C5629">
        <w:rPr>
          <w:rFonts w:ascii="Calibri" w:eastAsia="Times New Roman" w:hAnsi="Calibri" w:cs="Calibri"/>
          <w:color w:val="181D23"/>
          <w:kern w:val="0"/>
          <w:sz w:val="20"/>
          <w:szCs w:val="20"/>
          <w14:ligatures w14:val="none"/>
        </w:rPr>
        <w:t>Hepatitis B virus DNA and alanine aminotransferase monitoring</w:t>
      </w:r>
    </w:p>
    <w:p w14:paraId="009CC077" w14:textId="712BF9C0" w:rsidR="005C5629" w:rsidRPr="005C5629" w:rsidRDefault="005C5629" w:rsidP="005C5629">
      <w:pPr>
        <w:spacing w:after="0" w:line="240" w:lineRule="auto"/>
        <w:rPr>
          <w:rFonts w:ascii="Calibri" w:eastAsia="Times New Roman" w:hAnsi="Calibri" w:cs="Calibri"/>
          <w:color w:val="181D23"/>
          <w:kern w:val="0"/>
          <w:sz w:val="20"/>
          <w:szCs w:val="20"/>
          <w14:ligatures w14:val="none"/>
        </w:rPr>
      </w:pPr>
      <w:r w:rsidRPr="005C5629">
        <w:rPr>
          <w:rFonts w:ascii="Calibri" w:eastAsia="Times New Roman" w:hAnsi="Calibri" w:cs="Calibri"/>
          <w:color w:val="181D23"/>
          <w:kern w:val="0"/>
          <w:sz w:val="20"/>
          <w:szCs w:val="20"/>
          <w:bdr w:val="none" w:sz="0" w:space="0" w:color="auto" w:frame="1"/>
          <w14:ligatures w14:val="none"/>
        </w:rPr>
        <w:t>C. </w:t>
      </w:r>
      <w:r w:rsidRPr="005C5629">
        <w:rPr>
          <w:rFonts w:ascii="Calibri" w:eastAsia="Times New Roman" w:hAnsi="Calibri" w:cs="Calibri"/>
          <w:color w:val="181D23"/>
          <w:kern w:val="0"/>
          <w:sz w:val="20"/>
          <w:szCs w:val="20"/>
          <w14:ligatures w14:val="none"/>
        </w:rPr>
        <w:t>Tenofovir</w:t>
      </w:r>
    </w:p>
    <w:p w14:paraId="6FDDD4F9" w14:textId="3F192F0A" w:rsidR="005C5629" w:rsidRPr="005C5629" w:rsidRDefault="005C5629" w:rsidP="005C5629">
      <w:pPr>
        <w:spacing w:after="0" w:line="240" w:lineRule="auto"/>
        <w:rPr>
          <w:rFonts w:ascii="Calibri" w:eastAsia="Times New Roman" w:hAnsi="Calibri" w:cs="Calibri"/>
          <w:color w:val="181D23"/>
          <w:kern w:val="0"/>
          <w:sz w:val="20"/>
          <w:szCs w:val="20"/>
          <w14:ligatures w14:val="none"/>
        </w:rPr>
      </w:pPr>
      <w:r w:rsidRPr="005C5629">
        <w:rPr>
          <w:rFonts w:ascii="Calibri" w:eastAsia="Times New Roman" w:hAnsi="Calibri" w:cs="Calibri"/>
          <w:color w:val="181D23"/>
          <w:kern w:val="0"/>
          <w:sz w:val="20"/>
          <w:szCs w:val="20"/>
          <w:bdr w:val="none" w:sz="0" w:space="0" w:color="auto" w:frame="1"/>
          <w14:ligatures w14:val="none"/>
        </w:rPr>
        <w:t>D. </w:t>
      </w:r>
      <w:r w:rsidRPr="005C5629">
        <w:rPr>
          <w:rFonts w:ascii="Calibri" w:eastAsia="Times New Roman" w:hAnsi="Calibri" w:cs="Calibri"/>
          <w:color w:val="181D23"/>
          <w:kern w:val="0"/>
          <w:sz w:val="20"/>
          <w:szCs w:val="20"/>
          <w14:ligatures w14:val="none"/>
        </w:rPr>
        <w:t>Reassurance</w:t>
      </w:r>
    </w:p>
    <w:p w14:paraId="2C4034C7" w14:textId="77777777" w:rsidR="005C5629" w:rsidRPr="005C5629" w:rsidRDefault="005C5629" w:rsidP="005C5629">
      <w:pPr>
        <w:pBdr>
          <w:top w:val="single" w:sz="6" w:space="1" w:color="auto"/>
        </w:pBdr>
        <w:spacing w:after="0" w:line="240" w:lineRule="auto"/>
        <w:jc w:val="center"/>
        <w:rPr>
          <w:rFonts w:ascii="Calibri" w:eastAsia="Times New Roman" w:hAnsi="Calibri" w:cs="Calibri"/>
          <w:vanish/>
          <w:kern w:val="0"/>
          <w:sz w:val="20"/>
          <w:szCs w:val="20"/>
          <w14:ligatures w14:val="none"/>
        </w:rPr>
      </w:pPr>
      <w:r w:rsidRPr="005C5629">
        <w:rPr>
          <w:rFonts w:ascii="Calibri" w:eastAsia="Times New Roman" w:hAnsi="Calibri" w:cs="Calibri"/>
          <w:vanish/>
          <w:kern w:val="0"/>
          <w:sz w:val="20"/>
          <w:szCs w:val="20"/>
          <w14:ligatures w14:val="none"/>
        </w:rPr>
        <w:t>Bottom of Form</w:t>
      </w:r>
    </w:p>
    <w:p w14:paraId="3EB7CD50" w14:textId="77777777" w:rsidR="0035426E" w:rsidRPr="0035426E" w:rsidRDefault="0035426E" w:rsidP="0035426E">
      <w:pPr>
        <w:pBdr>
          <w:top w:val="single" w:sz="6" w:space="1" w:color="auto"/>
        </w:pBdr>
        <w:spacing w:after="0" w:line="240" w:lineRule="auto"/>
        <w:jc w:val="center"/>
        <w:rPr>
          <w:rFonts w:ascii="Calibri" w:eastAsia="Times New Roman" w:hAnsi="Calibri" w:cs="Calibri"/>
          <w:vanish/>
          <w:kern w:val="0"/>
          <w:sz w:val="20"/>
          <w:szCs w:val="20"/>
          <w14:ligatures w14:val="none"/>
        </w:rPr>
      </w:pPr>
      <w:r w:rsidRPr="0035426E">
        <w:rPr>
          <w:rFonts w:ascii="Calibri" w:eastAsia="Times New Roman" w:hAnsi="Calibri" w:cs="Calibri"/>
          <w:vanish/>
          <w:kern w:val="0"/>
          <w:sz w:val="20"/>
          <w:szCs w:val="20"/>
          <w14:ligatures w14:val="none"/>
        </w:rPr>
        <w:t>Bottom of Form</w:t>
      </w:r>
    </w:p>
    <w:p w14:paraId="34ACCB5F" w14:textId="77777777" w:rsidR="0035426E" w:rsidRPr="005C5629" w:rsidRDefault="0035426E">
      <w:pPr>
        <w:rPr>
          <w:rFonts w:ascii="Calibri" w:hAnsi="Calibri" w:cs="Calibri"/>
          <w:sz w:val="20"/>
          <w:szCs w:val="20"/>
        </w:rPr>
      </w:pPr>
    </w:p>
    <w:p w14:paraId="2F79098D" w14:textId="2C3EC7AA" w:rsidR="0035426E" w:rsidRPr="0035426E" w:rsidRDefault="005C5629" w:rsidP="0035426E">
      <w:pPr>
        <w:spacing w:after="100" w:afterAutospacing="1" w:line="240" w:lineRule="auto"/>
        <w:rPr>
          <w:rFonts w:ascii="Calibri" w:eastAsia="Times New Roman" w:hAnsi="Calibri" w:cs="Calibri"/>
          <w:kern w:val="0"/>
          <w:sz w:val="20"/>
          <w:szCs w:val="20"/>
          <w14:ligatures w14:val="none"/>
        </w:rPr>
      </w:pPr>
      <w:r w:rsidRPr="005C5629">
        <w:rPr>
          <w:rFonts w:ascii="Calibri" w:eastAsia="Times New Roman" w:hAnsi="Calibri" w:cs="Calibri"/>
          <w:kern w:val="0"/>
          <w:sz w:val="20"/>
          <w:szCs w:val="20"/>
          <w14:ligatures w14:val="none"/>
        </w:rPr>
        <w:t xml:space="preserve">3. </w:t>
      </w:r>
      <w:r w:rsidR="0035426E" w:rsidRPr="0035426E">
        <w:rPr>
          <w:rFonts w:ascii="Calibri" w:eastAsia="Times New Roman" w:hAnsi="Calibri" w:cs="Calibri"/>
          <w:kern w:val="0"/>
          <w:sz w:val="20"/>
          <w:szCs w:val="20"/>
          <w14:ligatures w14:val="none"/>
        </w:rPr>
        <w:t>A 45-year-old patient is evaluated for a 2-year history of retrosternal burning pain that occurs three to four times per week after meals and is worse at bedtime. They have also experienced regurgitation once per week. Drinking milk and taking over-the-counter antacid tablets temporarily relieve symptoms. They have not had weight loss, vomiting, odynophagia, dysphagia, or melena. They have no medical conditions, take no other medications, and do not smoke or drink alcohol. Family history is noncontributory.</w:t>
      </w:r>
    </w:p>
    <w:p w14:paraId="51703BDD" w14:textId="77777777" w:rsidR="0035426E" w:rsidRPr="0035426E" w:rsidRDefault="0035426E" w:rsidP="0035426E">
      <w:pPr>
        <w:spacing w:after="100" w:afterAutospacing="1" w:line="240" w:lineRule="auto"/>
        <w:rPr>
          <w:rFonts w:ascii="Calibri" w:eastAsia="Times New Roman" w:hAnsi="Calibri" w:cs="Calibri"/>
          <w:kern w:val="0"/>
          <w:sz w:val="20"/>
          <w:szCs w:val="20"/>
          <w14:ligatures w14:val="none"/>
        </w:rPr>
      </w:pPr>
      <w:r w:rsidRPr="0035426E">
        <w:rPr>
          <w:rFonts w:ascii="Calibri" w:eastAsia="Times New Roman" w:hAnsi="Calibri" w:cs="Calibri"/>
          <w:kern w:val="0"/>
          <w:sz w:val="20"/>
          <w:szCs w:val="20"/>
          <w14:ligatures w14:val="none"/>
        </w:rPr>
        <w:t>On physical examination, vital signs and other findings are normal.</w:t>
      </w:r>
    </w:p>
    <w:p w14:paraId="59B57EBA" w14:textId="77777777" w:rsidR="0035426E" w:rsidRPr="0035426E" w:rsidRDefault="0035426E" w:rsidP="0035426E">
      <w:pPr>
        <w:pBdr>
          <w:bottom w:val="single" w:sz="6" w:space="1" w:color="auto"/>
        </w:pBdr>
        <w:spacing w:after="0" w:line="240" w:lineRule="auto"/>
        <w:jc w:val="center"/>
        <w:rPr>
          <w:rFonts w:ascii="Calibri" w:eastAsia="Times New Roman" w:hAnsi="Calibri" w:cs="Calibri"/>
          <w:vanish/>
          <w:kern w:val="0"/>
          <w:sz w:val="20"/>
          <w:szCs w:val="20"/>
          <w14:ligatures w14:val="none"/>
        </w:rPr>
      </w:pPr>
      <w:r w:rsidRPr="0035426E">
        <w:rPr>
          <w:rFonts w:ascii="Calibri" w:eastAsia="Times New Roman" w:hAnsi="Calibri" w:cs="Calibri"/>
          <w:vanish/>
          <w:kern w:val="0"/>
          <w:sz w:val="20"/>
          <w:szCs w:val="20"/>
          <w14:ligatures w14:val="none"/>
        </w:rPr>
        <w:t>Top of Form</w:t>
      </w:r>
    </w:p>
    <w:p w14:paraId="22CB7F90" w14:textId="77777777" w:rsidR="0035426E" w:rsidRPr="0035426E" w:rsidRDefault="0035426E" w:rsidP="0035426E">
      <w:pPr>
        <w:spacing w:after="100" w:afterAutospacing="1"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14:ligatures w14:val="none"/>
        </w:rPr>
        <w:t>Which of the following is the most appropriate next step in management?</w:t>
      </w:r>
    </w:p>
    <w:p w14:paraId="73E9708E" w14:textId="653FD83B" w:rsidR="0035426E" w:rsidRPr="0035426E" w:rsidRDefault="0035426E" w:rsidP="0035426E">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A. </w:t>
      </w:r>
      <w:r w:rsidRPr="0035426E">
        <w:rPr>
          <w:rFonts w:ascii="Calibri" w:eastAsia="Times New Roman" w:hAnsi="Calibri" w:cs="Calibri"/>
          <w:color w:val="181D23"/>
          <w:kern w:val="0"/>
          <w:sz w:val="20"/>
          <w:szCs w:val="20"/>
          <w14:ligatures w14:val="none"/>
        </w:rPr>
        <w:t>Ambulatory pH monitoring</w:t>
      </w:r>
    </w:p>
    <w:p w14:paraId="75D46121" w14:textId="5D572AC5" w:rsidR="0035426E" w:rsidRPr="0035426E" w:rsidRDefault="0035426E" w:rsidP="0035426E">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B. </w:t>
      </w:r>
      <w:r w:rsidRPr="0035426E">
        <w:rPr>
          <w:rFonts w:ascii="Calibri" w:eastAsia="Times New Roman" w:hAnsi="Calibri" w:cs="Calibri"/>
          <w:color w:val="181D23"/>
          <w:kern w:val="0"/>
          <w:sz w:val="20"/>
          <w:szCs w:val="20"/>
          <w14:ligatures w14:val="none"/>
        </w:rPr>
        <w:t xml:space="preserve">Barium </w:t>
      </w:r>
      <w:proofErr w:type="spellStart"/>
      <w:r w:rsidRPr="0035426E">
        <w:rPr>
          <w:rFonts w:ascii="Calibri" w:eastAsia="Times New Roman" w:hAnsi="Calibri" w:cs="Calibri"/>
          <w:color w:val="181D23"/>
          <w:kern w:val="0"/>
          <w:sz w:val="20"/>
          <w:szCs w:val="20"/>
          <w14:ligatures w14:val="none"/>
        </w:rPr>
        <w:t>esophagram</w:t>
      </w:r>
      <w:proofErr w:type="spellEnd"/>
    </w:p>
    <w:p w14:paraId="46C2F4EA" w14:textId="7410B183" w:rsidR="0035426E" w:rsidRPr="0035426E" w:rsidRDefault="0035426E" w:rsidP="0035426E">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C. </w:t>
      </w:r>
      <w:r w:rsidRPr="0035426E">
        <w:rPr>
          <w:rFonts w:ascii="Calibri" w:eastAsia="Times New Roman" w:hAnsi="Calibri" w:cs="Calibri"/>
          <w:color w:val="181D23"/>
          <w:kern w:val="0"/>
          <w:sz w:val="20"/>
          <w:szCs w:val="20"/>
          <w14:ligatures w14:val="none"/>
        </w:rPr>
        <w:t>Proton pump inhibitor trial</w:t>
      </w:r>
    </w:p>
    <w:p w14:paraId="2336191B" w14:textId="7528435F" w:rsidR="0035426E" w:rsidRPr="0035426E" w:rsidRDefault="0035426E" w:rsidP="0035426E">
      <w:pPr>
        <w:spacing w:after="0" w:line="240" w:lineRule="auto"/>
        <w:rPr>
          <w:rFonts w:ascii="Calibri" w:eastAsia="Times New Roman" w:hAnsi="Calibri" w:cs="Calibri"/>
          <w:color w:val="181D23"/>
          <w:kern w:val="0"/>
          <w:sz w:val="20"/>
          <w:szCs w:val="20"/>
          <w14:ligatures w14:val="none"/>
        </w:rPr>
      </w:pPr>
      <w:r w:rsidRPr="0035426E">
        <w:rPr>
          <w:rFonts w:ascii="Calibri" w:eastAsia="Times New Roman" w:hAnsi="Calibri" w:cs="Calibri"/>
          <w:color w:val="181D23"/>
          <w:kern w:val="0"/>
          <w:sz w:val="20"/>
          <w:szCs w:val="20"/>
          <w:bdr w:val="none" w:sz="0" w:space="0" w:color="auto" w:frame="1"/>
          <w14:ligatures w14:val="none"/>
        </w:rPr>
        <w:t>D. </w:t>
      </w:r>
      <w:r w:rsidRPr="0035426E">
        <w:rPr>
          <w:rFonts w:ascii="Calibri" w:eastAsia="Times New Roman" w:hAnsi="Calibri" w:cs="Calibri"/>
          <w:color w:val="181D23"/>
          <w:kern w:val="0"/>
          <w:sz w:val="20"/>
          <w:szCs w:val="20"/>
          <w14:ligatures w14:val="none"/>
        </w:rPr>
        <w:t>Upper endoscopy</w:t>
      </w:r>
    </w:p>
    <w:p w14:paraId="6D6DF5DA" w14:textId="77777777" w:rsidR="0035426E" w:rsidRPr="0035426E" w:rsidRDefault="0035426E" w:rsidP="0035426E">
      <w:pPr>
        <w:pBdr>
          <w:top w:val="single" w:sz="6" w:space="1" w:color="auto"/>
        </w:pBdr>
        <w:spacing w:after="0" w:line="240" w:lineRule="auto"/>
        <w:jc w:val="center"/>
        <w:rPr>
          <w:rFonts w:ascii="Arial" w:eastAsia="Times New Roman" w:hAnsi="Arial" w:cs="Arial"/>
          <w:vanish/>
          <w:kern w:val="0"/>
          <w:sz w:val="16"/>
          <w:szCs w:val="16"/>
          <w14:ligatures w14:val="none"/>
        </w:rPr>
      </w:pPr>
      <w:r w:rsidRPr="0035426E">
        <w:rPr>
          <w:rFonts w:ascii="Arial" w:eastAsia="Times New Roman" w:hAnsi="Arial" w:cs="Arial"/>
          <w:vanish/>
          <w:kern w:val="0"/>
          <w:sz w:val="16"/>
          <w:szCs w:val="16"/>
          <w14:ligatures w14:val="none"/>
        </w:rPr>
        <w:t>Bottom of Form</w:t>
      </w:r>
    </w:p>
    <w:p w14:paraId="59418C14" w14:textId="77777777" w:rsidR="0035426E" w:rsidRDefault="0035426E"/>
    <w:sectPr w:rsidR="0035426E" w:rsidSect="0010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6E"/>
    <w:rsid w:val="00100BA5"/>
    <w:rsid w:val="001E11D3"/>
    <w:rsid w:val="00283D01"/>
    <w:rsid w:val="002A7084"/>
    <w:rsid w:val="0035426E"/>
    <w:rsid w:val="005C5629"/>
    <w:rsid w:val="005C7D6C"/>
    <w:rsid w:val="006C124D"/>
    <w:rsid w:val="009241C5"/>
    <w:rsid w:val="009B57D0"/>
    <w:rsid w:val="00AC0FC6"/>
    <w:rsid w:val="00CC4432"/>
    <w:rsid w:val="00FD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C79DC"/>
  <w15:chartTrackingRefBased/>
  <w15:docId w15:val="{6950DC78-EF9F-D840-87F3-FC158C1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26E"/>
    <w:rPr>
      <w:rFonts w:eastAsiaTheme="majorEastAsia" w:cstheme="majorBidi"/>
      <w:color w:val="272727" w:themeColor="text1" w:themeTint="D8"/>
    </w:rPr>
  </w:style>
  <w:style w:type="paragraph" w:styleId="Title">
    <w:name w:val="Title"/>
    <w:basedOn w:val="Normal"/>
    <w:next w:val="Normal"/>
    <w:link w:val="TitleChar"/>
    <w:uiPriority w:val="10"/>
    <w:qFormat/>
    <w:rsid w:val="0035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26E"/>
    <w:pPr>
      <w:spacing w:before="160"/>
      <w:jc w:val="center"/>
    </w:pPr>
    <w:rPr>
      <w:i/>
      <w:iCs/>
      <w:color w:val="404040" w:themeColor="text1" w:themeTint="BF"/>
    </w:rPr>
  </w:style>
  <w:style w:type="character" w:customStyle="1" w:styleId="QuoteChar">
    <w:name w:val="Quote Char"/>
    <w:basedOn w:val="DefaultParagraphFont"/>
    <w:link w:val="Quote"/>
    <w:uiPriority w:val="29"/>
    <w:rsid w:val="0035426E"/>
    <w:rPr>
      <w:i/>
      <w:iCs/>
      <w:color w:val="404040" w:themeColor="text1" w:themeTint="BF"/>
    </w:rPr>
  </w:style>
  <w:style w:type="paragraph" w:styleId="ListParagraph">
    <w:name w:val="List Paragraph"/>
    <w:basedOn w:val="Normal"/>
    <w:uiPriority w:val="34"/>
    <w:qFormat/>
    <w:rsid w:val="0035426E"/>
    <w:pPr>
      <w:ind w:left="720"/>
      <w:contextualSpacing/>
    </w:pPr>
  </w:style>
  <w:style w:type="character" w:styleId="IntenseEmphasis">
    <w:name w:val="Intense Emphasis"/>
    <w:basedOn w:val="DefaultParagraphFont"/>
    <w:uiPriority w:val="21"/>
    <w:qFormat/>
    <w:rsid w:val="0035426E"/>
    <w:rPr>
      <w:i/>
      <w:iCs/>
      <w:color w:val="0F4761" w:themeColor="accent1" w:themeShade="BF"/>
    </w:rPr>
  </w:style>
  <w:style w:type="paragraph" w:styleId="IntenseQuote">
    <w:name w:val="Intense Quote"/>
    <w:basedOn w:val="Normal"/>
    <w:next w:val="Normal"/>
    <w:link w:val="IntenseQuoteChar"/>
    <w:uiPriority w:val="30"/>
    <w:qFormat/>
    <w:rsid w:val="0035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26E"/>
    <w:rPr>
      <w:i/>
      <w:iCs/>
      <w:color w:val="0F4761" w:themeColor="accent1" w:themeShade="BF"/>
    </w:rPr>
  </w:style>
  <w:style w:type="character" w:styleId="IntenseReference">
    <w:name w:val="Intense Reference"/>
    <w:basedOn w:val="DefaultParagraphFont"/>
    <w:uiPriority w:val="32"/>
    <w:qFormat/>
    <w:rsid w:val="0035426E"/>
    <w:rPr>
      <w:b/>
      <w:bCs/>
      <w:smallCaps/>
      <w:color w:val="0F4761" w:themeColor="accent1" w:themeShade="BF"/>
      <w:spacing w:val="5"/>
    </w:rPr>
  </w:style>
  <w:style w:type="paragraph" w:customStyle="1" w:styleId="cell">
    <w:name w:val="cell"/>
    <w:basedOn w:val="Normal"/>
    <w:rsid w:val="003542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tn">
    <w:name w:val="btn"/>
    <w:basedOn w:val="DefaultParagraphFont"/>
    <w:rsid w:val="0035426E"/>
  </w:style>
  <w:style w:type="character" w:customStyle="1" w:styleId="apple-converted-space">
    <w:name w:val="apple-converted-space"/>
    <w:basedOn w:val="DefaultParagraphFont"/>
    <w:rsid w:val="0035426E"/>
  </w:style>
  <w:style w:type="paragraph" w:styleId="z-TopofForm">
    <w:name w:val="HTML Top of Form"/>
    <w:basedOn w:val="Normal"/>
    <w:next w:val="Normal"/>
    <w:link w:val="z-TopofFormChar"/>
    <w:hidden/>
    <w:uiPriority w:val="99"/>
    <w:semiHidden/>
    <w:unhideWhenUsed/>
    <w:rsid w:val="0035426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5426E"/>
    <w:rPr>
      <w:rFonts w:ascii="Arial" w:eastAsia="Times New Roman" w:hAnsi="Arial" w:cs="Arial"/>
      <w:vanish/>
      <w:kern w:val="0"/>
      <w:sz w:val="16"/>
      <w:szCs w:val="16"/>
      <w14:ligatures w14:val="none"/>
    </w:rPr>
  </w:style>
  <w:style w:type="character" w:customStyle="1" w:styleId="d-block">
    <w:name w:val="d-block"/>
    <w:basedOn w:val="DefaultParagraphFont"/>
    <w:rsid w:val="0035426E"/>
  </w:style>
  <w:style w:type="character" w:customStyle="1" w:styleId="col">
    <w:name w:val="col"/>
    <w:basedOn w:val="DefaultParagraphFont"/>
    <w:rsid w:val="0035426E"/>
  </w:style>
  <w:style w:type="character" w:customStyle="1" w:styleId="visually-hidden">
    <w:name w:val="visually-hidden"/>
    <w:basedOn w:val="DefaultParagraphFont"/>
    <w:rsid w:val="0035426E"/>
  </w:style>
  <w:style w:type="paragraph" w:styleId="z-BottomofForm">
    <w:name w:val="HTML Bottom of Form"/>
    <w:basedOn w:val="Normal"/>
    <w:next w:val="Normal"/>
    <w:link w:val="z-BottomofFormChar"/>
    <w:hidden/>
    <w:uiPriority w:val="99"/>
    <w:semiHidden/>
    <w:unhideWhenUsed/>
    <w:rsid w:val="0035426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5426E"/>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Harper</dc:creator>
  <cp:keywords/>
  <dc:description/>
  <cp:lastModifiedBy>Lise Harper</cp:lastModifiedBy>
  <cp:revision>1</cp:revision>
  <dcterms:created xsi:type="dcterms:W3CDTF">2026-01-12T03:16:00Z</dcterms:created>
  <dcterms:modified xsi:type="dcterms:W3CDTF">2026-01-12T13:45:00Z</dcterms:modified>
</cp:coreProperties>
</file>