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40" w:rsidRDefault="004A7040" w:rsidP="004A7040">
      <w:pPr>
        <w:rPr>
          <w:sz w:val="24"/>
          <w:szCs w:val="24"/>
        </w:rPr>
      </w:pPr>
    </w:p>
    <w:p w:rsidR="004A7040" w:rsidRPr="004A7040" w:rsidRDefault="004A7040" w:rsidP="004A7040">
      <w:pPr>
        <w:pStyle w:val="ListParagraph"/>
        <w:jc w:val="center"/>
        <w:rPr>
          <w:b/>
          <w:sz w:val="24"/>
          <w:szCs w:val="24"/>
          <w:u w:val="single"/>
        </w:rPr>
      </w:pPr>
      <w:r w:rsidRPr="004A7040">
        <w:rPr>
          <w:b/>
          <w:sz w:val="24"/>
          <w:szCs w:val="24"/>
          <w:u w:val="single"/>
        </w:rPr>
        <w:t>October 25, 2016 AHD Objectives</w:t>
      </w:r>
    </w:p>
    <w:p w:rsidR="004A7040" w:rsidRDefault="004A7040" w:rsidP="004A7040">
      <w:pPr>
        <w:pStyle w:val="ListParagraph"/>
        <w:rPr>
          <w:sz w:val="24"/>
          <w:szCs w:val="24"/>
        </w:rPr>
      </w:pPr>
    </w:p>
    <w:p w:rsidR="004A7040" w:rsidRPr="004A7040" w:rsidRDefault="004A7040" w:rsidP="004A7040">
      <w:pPr>
        <w:pStyle w:val="ListParagraph"/>
        <w:rPr>
          <w:b/>
          <w:sz w:val="24"/>
          <w:szCs w:val="24"/>
          <w:u w:val="single"/>
        </w:rPr>
      </w:pPr>
      <w:r w:rsidRPr="004A7040">
        <w:rPr>
          <w:b/>
          <w:sz w:val="24"/>
          <w:szCs w:val="24"/>
          <w:u w:val="single"/>
        </w:rPr>
        <w:t>Pulmonary Embolism</w:t>
      </w:r>
    </w:p>
    <w:p w:rsidR="004A7040" w:rsidRDefault="004A7040" w:rsidP="004A7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the risk factors for venous thromboembolism and the signs of symptoms of the disease.</w:t>
      </w:r>
    </w:p>
    <w:p w:rsidR="004A7040" w:rsidRDefault="004A7040" w:rsidP="00BC1F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</w:t>
      </w:r>
      <w:r w:rsidRPr="004A7040">
        <w:rPr>
          <w:b/>
          <w:i/>
          <w:sz w:val="24"/>
          <w:szCs w:val="24"/>
        </w:rPr>
        <w:t>both</w:t>
      </w:r>
      <w:r>
        <w:rPr>
          <w:sz w:val="24"/>
          <w:szCs w:val="24"/>
        </w:rPr>
        <w:t xml:space="preserve"> the PERC score (Pulmonary Embolism Rule-Out Criteria) and the Well’s Score</w:t>
      </w:r>
      <w:r w:rsidRPr="004A7040">
        <w:rPr>
          <w:sz w:val="24"/>
          <w:szCs w:val="24"/>
        </w:rPr>
        <w:t xml:space="preserve"> to develop a pre-test probability of your patient having a </w:t>
      </w:r>
      <w:r w:rsidRPr="004A7040">
        <w:rPr>
          <w:sz w:val="24"/>
          <w:szCs w:val="24"/>
        </w:rPr>
        <w:t>pulmonary embolism.</w:t>
      </w:r>
      <w:r w:rsidRPr="004A70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7040" w:rsidRDefault="004A7040" w:rsidP="00BC1F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Best Practice Advice from the Clinical Guidelines Committee of the American College of Physicians, know what the appropriate management is of a patient who has:</w:t>
      </w:r>
    </w:p>
    <w:p w:rsidR="004A7040" w:rsidRDefault="004A7040" w:rsidP="004A70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Low pre-test probability of PE and who meets all the criteria of the PERC score. </w:t>
      </w:r>
    </w:p>
    <w:p w:rsidR="004A7040" w:rsidRPr="004A7040" w:rsidRDefault="004A7040" w:rsidP="004A70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pre-test probability of PE or low pre-test probability of PE but who does not meet all the criteria of the PERC score.</w:t>
      </w:r>
      <w:r w:rsidRPr="004A7040">
        <w:rPr>
          <w:sz w:val="24"/>
          <w:szCs w:val="24"/>
        </w:rPr>
        <w:t xml:space="preserve"> </w:t>
      </w:r>
    </w:p>
    <w:p w:rsidR="004A7040" w:rsidRDefault="004A7040" w:rsidP="004A7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indications for CT angiography and VQ scans for the diagnosis of PE. Know the preferred imaging test to order in a pregnant woman.</w:t>
      </w:r>
      <w:bookmarkStart w:id="0" w:name="_GoBack"/>
      <w:bookmarkEnd w:id="0"/>
    </w:p>
    <w:p w:rsidR="004A7040" w:rsidRDefault="004A7040" w:rsidP="004A7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the severity of a PE based on hemodynamic parameters, biomarkers (troponin and BNP) and echocardiogram findings. Know the appropriate treatment for patients with massive PE.</w:t>
      </w:r>
    </w:p>
    <w:p w:rsidR="004A7040" w:rsidRDefault="004A7040" w:rsidP="004A7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the treatment options for patients with non-massive PE. Know who should be treated prior to making the diagnosis.</w:t>
      </w:r>
    </w:p>
    <w:p w:rsidR="00715C6F" w:rsidRDefault="00715C6F"/>
    <w:sectPr w:rsidR="00715C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CCB"/>
    <w:multiLevelType w:val="hybridMultilevel"/>
    <w:tmpl w:val="9A149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40"/>
    <w:rsid w:val="004A7040"/>
    <w:rsid w:val="007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A866C-8F14-48B8-A3EB-04DB9F1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1</cp:revision>
  <dcterms:created xsi:type="dcterms:W3CDTF">2016-09-29T21:48:00Z</dcterms:created>
  <dcterms:modified xsi:type="dcterms:W3CDTF">2016-09-29T21:58:00Z</dcterms:modified>
</cp:coreProperties>
</file>