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A75F" w14:textId="754CD9D2" w:rsidR="00047796" w:rsidRDefault="00294CD8" w:rsidP="00A92638">
      <w:pPr>
        <w:spacing w:after="0" w:line="480" w:lineRule="auto"/>
        <w:jc w:val="center"/>
        <w:rPr>
          <w:b/>
          <w:bCs/>
          <w:u w:val="single"/>
        </w:rPr>
      </w:pPr>
      <w:r w:rsidRPr="00294CD8">
        <w:rPr>
          <w:b/>
          <w:bCs/>
          <w:u w:val="single"/>
        </w:rPr>
        <w:t>September 9, 2025</w:t>
      </w:r>
      <w:r>
        <w:rPr>
          <w:b/>
          <w:bCs/>
          <w:u w:val="single"/>
        </w:rPr>
        <w:t>,</w:t>
      </w:r>
      <w:r w:rsidRPr="00294CD8">
        <w:rPr>
          <w:b/>
          <w:bCs/>
          <w:u w:val="single"/>
        </w:rPr>
        <w:t xml:space="preserve"> AHD MKSAP</w:t>
      </w:r>
    </w:p>
    <w:p w14:paraId="6F7EA142" w14:textId="77777777" w:rsidR="00A92638" w:rsidRDefault="00A92638" w:rsidP="00A92638">
      <w:pPr>
        <w:snapToGrid w:val="0"/>
        <w:spacing w:after="0" w:line="480" w:lineRule="auto"/>
        <w:rPr>
          <w:b/>
          <w:bCs/>
          <w:sz w:val="20"/>
          <w:szCs w:val="20"/>
          <w:u w:val="single"/>
        </w:rPr>
      </w:pPr>
    </w:p>
    <w:p w14:paraId="35F1E7EA" w14:textId="03CD9209" w:rsidR="00A92638" w:rsidRDefault="00A92638" w:rsidP="00A92638">
      <w:pPr>
        <w:snapToGrid w:val="0"/>
        <w:spacing w:after="0" w:line="240" w:lineRule="auto"/>
        <w:rPr>
          <w:sz w:val="20"/>
          <w:szCs w:val="20"/>
        </w:rPr>
      </w:pPr>
      <w:r>
        <w:rPr>
          <w:sz w:val="20"/>
          <w:szCs w:val="20"/>
        </w:rPr>
        <w:t>1.  An 18-year-old man is evaluated after being deferred from donating blood because of a low hemoglobin level. He has no history of bleeding and feels well. Medical history is unremarkable, and he takes no medications.</w:t>
      </w:r>
    </w:p>
    <w:p w14:paraId="18580ED0" w14:textId="77777777" w:rsidR="00A92638" w:rsidRDefault="00A92638" w:rsidP="00A92638">
      <w:pPr>
        <w:snapToGrid w:val="0"/>
        <w:spacing w:after="0" w:line="240" w:lineRule="auto"/>
        <w:rPr>
          <w:sz w:val="20"/>
          <w:szCs w:val="20"/>
        </w:rPr>
      </w:pPr>
    </w:p>
    <w:p w14:paraId="0DA5A86A" w14:textId="4F3ADF7D" w:rsidR="00A92638" w:rsidRDefault="00A92638" w:rsidP="00A92638">
      <w:pPr>
        <w:snapToGrid w:val="0"/>
        <w:spacing w:after="0" w:line="240" w:lineRule="auto"/>
        <w:rPr>
          <w:sz w:val="20"/>
          <w:szCs w:val="20"/>
        </w:rPr>
      </w:pPr>
      <w:r>
        <w:rPr>
          <w:sz w:val="20"/>
          <w:szCs w:val="20"/>
        </w:rPr>
        <w:t>On physical examination, vital signs and other findings are normal.</w:t>
      </w:r>
    </w:p>
    <w:p w14:paraId="31C069FA" w14:textId="77777777" w:rsidR="00A92638" w:rsidRPr="00A92638" w:rsidRDefault="00A92638" w:rsidP="00A92638">
      <w:pPr>
        <w:snapToGrid w:val="0"/>
        <w:spacing w:after="0" w:line="240" w:lineRule="auto"/>
        <w:rPr>
          <w:b/>
          <w:bCs/>
          <w:sz w:val="20"/>
          <w:szCs w:val="20"/>
        </w:rPr>
      </w:pPr>
    </w:p>
    <w:p w14:paraId="661046A8" w14:textId="3B69839C" w:rsidR="00A92638" w:rsidRPr="00A92638" w:rsidRDefault="00A92638" w:rsidP="00A92638">
      <w:pPr>
        <w:snapToGrid w:val="0"/>
        <w:spacing w:after="0" w:line="240" w:lineRule="auto"/>
        <w:rPr>
          <w:b/>
          <w:bCs/>
          <w:sz w:val="20"/>
          <w:szCs w:val="20"/>
        </w:rPr>
      </w:pPr>
      <w:r w:rsidRPr="00A92638">
        <w:rPr>
          <w:b/>
          <w:bCs/>
          <w:sz w:val="20"/>
          <w:szCs w:val="20"/>
        </w:rPr>
        <w:t>Laboratory studies:</w:t>
      </w:r>
    </w:p>
    <w:p w14:paraId="2032433D" w14:textId="22E37198" w:rsidR="00A92638" w:rsidRDefault="00A92638" w:rsidP="00A92638">
      <w:pPr>
        <w:snapToGrid w:val="0"/>
        <w:spacing w:after="0" w:line="240" w:lineRule="auto"/>
        <w:rPr>
          <w:sz w:val="20"/>
          <w:szCs w:val="20"/>
        </w:rPr>
      </w:pPr>
      <w:r>
        <w:rPr>
          <w:sz w:val="20"/>
          <w:szCs w:val="20"/>
        </w:rPr>
        <w:t>Hemoglobin: 12 g/dL</w:t>
      </w:r>
    </w:p>
    <w:p w14:paraId="5A07BF3F" w14:textId="651E3E2A" w:rsidR="00A92638" w:rsidRDefault="00A92638" w:rsidP="00A92638">
      <w:pPr>
        <w:snapToGrid w:val="0"/>
        <w:spacing w:after="0" w:line="240" w:lineRule="auto"/>
        <w:rPr>
          <w:sz w:val="20"/>
          <w:szCs w:val="20"/>
        </w:rPr>
      </w:pPr>
      <w:r>
        <w:rPr>
          <w:sz w:val="20"/>
          <w:szCs w:val="20"/>
        </w:rPr>
        <w:t>Mean Corpuscular Volume: 70</w:t>
      </w:r>
    </w:p>
    <w:p w14:paraId="457773B1" w14:textId="6C47E0F6" w:rsidR="00A92638" w:rsidRDefault="00A92638" w:rsidP="00A92638">
      <w:pPr>
        <w:snapToGrid w:val="0"/>
        <w:spacing w:after="0" w:line="240" w:lineRule="auto"/>
        <w:rPr>
          <w:sz w:val="20"/>
          <w:szCs w:val="20"/>
        </w:rPr>
      </w:pPr>
      <w:r>
        <w:rPr>
          <w:sz w:val="20"/>
          <w:szCs w:val="20"/>
        </w:rPr>
        <w:t>Leukocyte count: 7400/</w:t>
      </w:r>
      <w:proofErr w:type="spellStart"/>
      <w:r>
        <w:rPr>
          <w:sz w:val="20"/>
          <w:szCs w:val="20"/>
        </w:rPr>
        <w:t>uL</w:t>
      </w:r>
      <w:proofErr w:type="spellEnd"/>
    </w:p>
    <w:p w14:paraId="13DAA9E2" w14:textId="22AEBCE7" w:rsidR="00A92638" w:rsidRDefault="00A92638" w:rsidP="00A92638">
      <w:pPr>
        <w:snapToGrid w:val="0"/>
        <w:spacing w:after="0" w:line="240" w:lineRule="auto"/>
        <w:rPr>
          <w:sz w:val="20"/>
          <w:szCs w:val="20"/>
        </w:rPr>
      </w:pPr>
      <w:r>
        <w:rPr>
          <w:sz w:val="20"/>
          <w:szCs w:val="20"/>
        </w:rPr>
        <w:t>Platelet count: 250,000/</w:t>
      </w:r>
      <w:proofErr w:type="spellStart"/>
      <w:r>
        <w:rPr>
          <w:sz w:val="20"/>
          <w:szCs w:val="20"/>
        </w:rPr>
        <w:t>uL</w:t>
      </w:r>
      <w:proofErr w:type="spellEnd"/>
    </w:p>
    <w:p w14:paraId="04359C00" w14:textId="24AE8298" w:rsidR="00A92638" w:rsidRDefault="00A92638" w:rsidP="00A92638">
      <w:pPr>
        <w:snapToGrid w:val="0"/>
        <w:spacing w:after="0" w:line="240" w:lineRule="auto"/>
        <w:rPr>
          <w:sz w:val="20"/>
          <w:szCs w:val="20"/>
        </w:rPr>
      </w:pPr>
      <w:r>
        <w:rPr>
          <w:sz w:val="20"/>
          <w:szCs w:val="20"/>
        </w:rPr>
        <w:t>Iron studies:</w:t>
      </w:r>
    </w:p>
    <w:p w14:paraId="5D66D3DA" w14:textId="0A4E2767" w:rsidR="00A92638" w:rsidRDefault="00A92638" w:rsidP="00A92638">
      <w:pPr>
        <w:snapToGrid w:val="0"/>
        <w:spacing w:after="0" w:line="240" w:lineRule="auto"/>
        <w:rPr>
          <w:sz w:val="20"/>
          <w:szCs w:val="20"/>
        </w:rPr>
      </w:pPr>
      <w:r>
        <w:rPr>
          <w:sz w:val="20"/>
          <w:szCs w:val="20"/>
        </w:rPr>
        <w:t xml:space="preserve">     Ferritin: 194 ng/mL</w:t>
      </w:r>
    </w:p>
    <w:p w14:paraId="0267B537" w14:textId="56DAF166" w:rsidR="00A92638" w:rsidRDefault="00A92638" w:rsidP="00A92638">
      <w:pPr>
        <w:snapToGrid w:val="0"/>
        <w:spacing w:after="0" w:line="240" w:lineRule="auto"/>
        <w:rPr>
          <w:sz w:val="20"/>
          <w:szCs w:val="20"/>
        </w:rPr>
      </w:pPr>
      <w:r>
        <w:rPr>
          <w:sz w:val="20"/>
          <w:szCs w:val="20"/>
        </w:rPr>
        <w:t xml:space="preserve">     Iron: 140 ug/dL</w:t>
      </w:r>
    </w:p>
    <w:p w14:paraId="46841326" w14:textId="155427FC" w:rsidR="00A92638" w:rsidRDefault="00A92638" w:rsidP="00A92638">
      <w:pPr>
        <w:snapToGrid w:val="0"/>
        <w:spacing w:after="0" w:line="240" w:lineRule="auto"/>
        <w:rPr>
          <w:sz w:val="20"/>
          <w:szCs w:val="20"/>
        </w:rPr>
      </w:pPr>
      <w:r>
        <w:rPr>
          <w:sz w:val="20"/>
          <w:szCs w:val="20"/>
        </w:rPr>
        <w:t xml:space="preserve">     Total iron-binding capacity: 320 ug/dL</w:t>
      </w:r>
    </w:p>
    <w:p w14:paraId="753AB735" w14:textId="7CC36A70" w:rsidR="00A92638" w:rsidRDefault="00A92638" w:rsidP="00A92638">
      <w:pPr>
        <w:snapToGrid w:val="0"/>
        <w:spacing w:after="0" w:line="240" w:lineRule="auto"/>
        <w:rPr>
          <w:sz w:val="20"/>
          <w:szCs w:val="20"/>
        </w:rPr>
      </w:pPr>
      <w:r>
        <w:rPr>
          <w:sz w:val="20"/>
          <w:szCs w:val="20"/>
        </w:rPr>
        <w:t xml:space="preserve">     Transferrin saturation: 44%</w:t>
      </w:r>
    </w:p>
    <w:p w14:paraId="3107C283" w14:textId="77777777" w:rsidR="00A92638" w:rsidRDefault="00A92638" w:rsidP="00A92638">
      <w:pPr>
        <w:snapToGrid w:val="0"/>
        <w:spacing w:after="0" w:line="240" w:lineRule="auto"/>
        <w:rPr>
          <w:sz w:val="20"/>
          <w:szCs w:val="20"/>
        </w:rPr>
      </w:pPr>
    </w:p>
    <w:p w14:paraId="3B94FBA4" w14:textId="707ABB23" w:rsidR="00A92638" w:rsidRDefault="00A92638" w:rsidP="00A92638">
      <w:pPr>
        <w:snapToGrid w:val="0"/>
        <w:spacing w:after="0" w:line="240" w:lineRule="auto"/>
        <w:rPr>
          <w:sz w:val="20"/>
          <w:szCs w:val="20"/>
        </w:rPr>
      </w:pPr>
      <w:r>
        <w:rPr>
          <w:sz w:val="20"/>
          <w:szCs w:val="20"/>
        </w:rPr>
        <w:t>Peripheral blood smear reveals microcytic and hypochromic erythrocytes with few target cells present.</w:t>
      </w:r>
    </w:p>
    <w:p w14:paraId="1437672A" w14:textId="77777777" w:rsidR="00A92638" w:rsidRPr="00A92638" w:rsidRDefault="00A92638" w:rsidP="00A92638">
      <w:pPr>
        <w:snapToGrid w:val="0"/>
        <w:spacing w:after="0" w:line="240" w:lineRule="auto"/>
        <w:rPr>
          <w:b/>
          <w:bCs/>
          <w:sz w:val="20"/>
          <w:szCs w:val="20"/>
        </w:rPr>
      </w:pPr>
    </w:p>
    <w:p w14:paraId="6142CEFF" w14:textId="7F802679" w:rsidR="00A92638" w:rsidRPr="00A92638" w:rsidRDefault="00A92638" w:rsidP="00A92638">
      <w:pPr>
        <w:snapToGrid w:val="0"/>
        <w:spacing w:after="0" w:line="240" w:lineRule="auto"/>
        <w:rPr>
          <w:b/>
          <w:bCs/>
          <w:sz w:val="20"/>
          <w:szCs w:val="20"/>
        </w:rPr>
      </w:pPr>
      <w:r w:rsidRPr="00A92638">
        <w:rPr>
          <w:b/>
          <w:bCs/>
          <w:sz w:val="20"/>
          <w:szCs w:val="20"/>
        </w:rPr>
        <w:t>Which of the following is the most likely diagnosis?</w:t>
      </w:r>
    </w:p>
    <w:p w14:paraId="25708E33" w14:textId="77777777" w:rsidR="00A92638" w:rsidRDefault="00A92638" w:rsidP="00A92638">
      <w:pPr>
        <w:snapToGrid w:val="0"/>
        <w:spacing w:after="0" w:line="240" w:lineRule="auto"/>
        <w:rPr>
          <w:sz w:val="20"/>
          <w:szCs w:val="20"/>
        </w:rPr>
      </w:pPr>
    </w:p>
    <w:p w14:paraId="6899584E" w14:textId="191ABD35" w:rsidR="00A92638" w:rsidRDefault="00A92638" w:rsidP="00A92638">
      <w:pPr>
        <w:snapToGrid w:val="0"/>
        <w:spacing w:after="0" w:line="240" w:lineRule="auto"/>
        <w:rPr>
          <w:sz w:val="20"/>
          <w:szCs w:val="20"/>
        </w:rPr>
      </w:pPr>
      <w:r>
        <w:rPr>
          <w:sz w:val="20"/>
          <w:szCs w:val="20"/>
        </w:rPr>
        <w:t>A.  Anemia of inflammation</w:t>
      </w:r>
    </w:p>
    <w:p w14:paraId="7A9E788C" w14:textId="13E111D1" w:rsidR="00A92638" w:rsidRDefault="00A92638" w:rsidP="00A92638">
      <w:pPr>
        <w:snapToGrid w:val="0"/>
        <w:spacing w:after="0" w:line="240" w:lineRule="auto"/>
        <w:rPr>
          <w:sz w:val="20"/>
          <w:szCs w:val="20"/>
        </w:rPr>
      </w:pPr>
      <w:r>
        <w:rPr>
          <w:sz w:val="20"/>
          <w:szCs w:val="20"/>
        </w:rPr>
        <w:t>B. B-thalassemia minor</w:t>
      </w:r>
    </w:p>
    <w:p w14:paraId="78F5B5BF" w14:textId="1903C7A2" w:rsidR="00A92638" w:rsidRDefault="00A92638" w:rsidP="00A92638">
      <w:pPr>
        <w:snapToGrid w:val="0"/>
        <w:spacing w:after="0" w:line="240" w:lineRule="auto"/>
        <w:rPr>
          <w:sz w:val="20"/>
          <w:szCs w:val="20"/>
        </w:rPr>
      </w:pPr>
      <w:r>
        <w:rPr>
          <w:sz w:val="20"/>
          <w:szCs w:val="20"/>
        </w:rPr>
        <w:t>C. Myelodysplastic syndrome</w:t>
      </w:r>
    </w:p>
    <w:p w14:paraId="5F5D8CF5" w14:textId="35E90AB5" w:rsidR="00A92638" w:rsidRDefault="00A92638" w:rsidP="00A92638">
      <w:pPr>
        <w:snapToGrid w:val="0"/>
        <w:spacing w:after="0" w:line="240" w:lineRule="auto"/>
        <w:rPr>
          <w:sz w:val="20"/>
          <w:szCs w:val="20"/>
        </w:rPr>
      </w:pPr>
      <w:r>
        <w:rPr>
          <w:sz w:val="20"/>
          <w:szCs w:val="20"/>
        </w:rPr>
        <w:t>D. Sickle cell trait</w:t>
      </w:r>
    </w:p>
    <w:p w14:paraId="3858AB38" w14:textId="77777777" w:rsidR="00A92638" w:rsidRDefault="00A92638" w:rsidP="00A92638">
      <w:pPr>
        <w:snapToGrid w:val="0"/>
        <w:spacing w:after="0" w:line="240" w:lineRule="auto"/>
        <w:rPr>
          <w:sz w:val="20"/>
          <w:szCs w:val="20"/>
        </w:rPr>
      </w:pPr>
    </w:p>
    <w:p w14:paraId="571EA37D" w14:textId="631BA3EF" w:rsidR="00A92638" w:rsidRDefault="00A92638" w:rsidP="00A92638">
      <w:pPr>
        <w:snapToGrid w:val="0"/>
        <w:spacing w:after="0" w:line="240" w:lineRule="auto"/>
        <w:rPr>
          <w:sz w:val="20"/>
          <w:szCs w:val="20"/>
        </w:rPr>
      </w:pPr>
      <w:r>
        <w:rPr>
          <w:sz w:val="20"/>
          <w:szCs w:val="20"/>
        </w:rPr>
        <w:t xml:space="preserve">2. </w:t>
      </w:r>
      <w:r w:rsidR="00FA454F">
        <w:rPr>
          <w:sz w:val="20"/>
          <w:szCs w:val="20"/>
        </w:rPr>
        <w:t>A 33-year-old man is evaluated in the emergency department for a 10-day history of fever, malaise, anorexia, and progressive dyspnea on exertion. Medical history is significant for hereditary spherocytosis and cholelithiasis requiring cholecystectomy at the age of 29 years. His only medication is folic acid.</w:t>
      </w:r>
    </w:p>
    <w:p w14:paraId="0F050FCA" w14:textId="77777777" w:rsidR="00FA454F" w:rsidRDefault="00FA454F" w:rsidP="00A92638">
      <w:pPr>
        <w:snapToGrid w:val="0"/>
        <w:spacing w:after="0" w:line="240" w:lineRule="auto"/>
        <w:rPr>
          <w:sz w:val="20"/>
          <w:szCs w:val="20"/>
        </w:rPr>
      </w:pPr>
    </w:p>
    <w:p w14:paraId="1249ACBC" w14:textId="63B81BEE" w:rsidR="00FA454F" w:rsidRDefault="00FA454F" w:rsidP="00A92638">
      <w:pPr>
        <w:snapToGrid w:val="0"/>
        <w:spacing w:after="0" w:line="240" w:lineRule="auto"/>
        <w:rPr>
          <w:sz w:val="20"/>
          <w:szCs w:val="20"/>
        </w:rPr>
      </w:pPr>
      <w:r>
        <w:rPr>
          <w:sz w:val="20"/>
          <w:szCs w:val="20"/>
        </w:rPr>
        <w:t>On physical examination, pulse rate is 112/min. Spleen tip is palpable in the left upper quadrant.</w:t>
      </w:r>
    </w:p>
    <w:p w14:paraId="10362FD3" w14:textId="77777777" w:rsidR="00FA454F" w:rsidRDefault="00FA454F" w:rsidP="00A92638">
      <w:pPr>
        <w:snapToGrid w:val="0"/>
        <w:spacing w:after="0" w:line="240" w:lineRule="auto"/>
        <w:rPr>
          <w:sz w:val="20"/>
          <w:szCs w:val="20"/>
        </w:rPr>
      </w:pPr>
    </w:p>
    <w:p w14:paraId="594523CA" w14:textId="44CE5510" w:rsidR="00FA454F" w:rsidRPr="0015458A" w:rsidRDefault="00FA454F" w:rsidP="00A92638">
      <w:pPr>
        <w:snapToGrid w:val="0"/>
        <w:spacing w:after="0" w:line="240" w:lineRule="auto"/>
        <w:rPr>
          <w:b/>
          <w:bCs/>
          <w:sz w:val="20"/>
          <w:szCs w:val="20"/>
        </w:rPr>
      </w:pPr>
      <w:r w:rsidRPr="0015458A">
        <w:rPr>
          <w:b/>
          <w:bCs/>
          <w:sz w:val="20"/>
          <w:szCs w:val="20"/>
        </w:rPr>
        <w:t>Laboratory studies:</w:t>
      </w:r>
    </w:p>
    <w:p w14:paraId="78A8F9E3" w14:textId="07619994" w:rsidR="00FA454F" w:rsidRDefault="00FA454F" w:rsidP="00A92638">
      <w:pPr>
        <w:snapToGrid w:val="0"/>
        <w:spacing w:after="0" w:line="240" w:lineRule="auto"/>
        <w:rPr>
          <w:sz w:val="20"/>
          <w:szCs w:val="20"/>
        </w:rPr>
      </w:pPr>
      <w:r>
        <w:rPr>
          <w:sz w:val="20"/>
          <w:szCs w:val="20"/>
        </w:rPr>
        <w:t>Hemoglobin: 4.5 g/dL</w:t>
      </w:r>
    </w:p>
    <w:p w14:paraId="26D1C246" w14:textId="5BC7AB7B" w:rsidR="00FA454F" w:rsidRDefault="00FA454F" w:rsidP="00A92638">
      <w:pPr>
        <w:snapToGrid w:val="0"/>
        <w:spacing w:after="0" w:line="240" w:lineRule="auto"/>
        <w:rPr>
          <w:sz w:val="20"/>
          <w:szCs w:val="20"/>
        </w:rPr>
      </w:pPr>
      <w:r>
        <w:rPr>
          <w:sz w:val="20"/>
          <w:szCs w:val="20"/>
        </w:rPr>
        <w:t xml:space="preserve">Mean corpuscular volume: 90 </w:t>
      </w:r>
      <w:proofErr w:type="spellStart"/>
      <w:r>
        <w:rPr>
          <w:sz w:val="20"/>
          <w:szCs w:val="20"/>
        </w:rPr>
        <w:t>fL</w:t>
      </w:r>
      <w:proofErr w:type="spellEnd"/>
    </w:p>
    <w:p w14:paraId="2B8DCAAF" w14:textId="3FD251AF" w:rsidR="00FA454F" w:rsidRDefault="00FA454F" w:rsidP="00A92638">
      <w:pPr>
        <w:snapToGrid w:val="0"/>
        <w:spacing w:after="0" w:line="240" w:lineRule="auto"/>
        <w:rPr>
          <w:sz w:val="20"/>
          <w:szCs w:val="20"/>
        </w:rPr>
      </w:pPr>
      <w:r>
        <w:rPr>
          <w:sz w:val="20"/>
          <w:szCs w:val="20"/>
        </w:rPr>
        <w:t>Leukocyte count: 6500/</w:t>
      </w:r>
      <w:proofErr w:type="spellStart"/>
      <w:r>
        <w:rPr>
          <w:sz w:val="20"/>
          <w:szCs w:val="20"/>
        </w:rPr>
        <w:t>uL</w:t>
      </w:r>
      <w:proofErr w:type="spellEnd"/>
      <w:r>
        <w:rPr>
          <w:sz w:val="20"/>
          <w:szCs w:val="20"/>
        </w:rPr>
        <w:t xml:space="preserve"> (normal differential)</w:t>
      </w:r>
    </w:p>
    <w:p w14:paraId="13BF0ED3" w14:textId="799711EE" w:rsidR="00FA454F" w:rsidRDefault="00FA454F" w:rsidP="00A92638">
      <w:pPr>
        <w:snapToGrid w:val="0"/>
        <w:spacing w:after="0" w:line="240" w:lineRule="auto"/>
        <w:rPr>
          <w:sz w:val="20"/>
          <w:szCs w:val="20"/>
        </w:rPr>
      </w:pPr>
      <w:r>
        <w:rPr>
          <w:sz w:val="20"/>
          <w:szCs w:val="20"/>
        </w:rPr>
        <w:t>Platelet count: 235,000/</w:t>
      </w:r>
      <w:proofErr w:type="spellStart"/>
      <w:r>
        <w:rPr>
          <w:sz w:val="20"/>
          <w:szCs w:val="20"/>
        </w:rPr>
        <w:t>uL</w:t>
      </w:r>
      <w:proofErr w:type="spellEnd"/>
    </w:p>
    <w:p w14:paraId="633F263E" w14:textId="320CEF04" w:rsidR="00FA454F" w:rsidRDefault="00FA454F" w:rsidP="00A92638">
      <w:pPr>
        <w:snapToGrid w:val="0"/>
        <w:spacing w:after="0" w:line="240" w:lineRule="auto"/>
        <w:rPr>
          <w:sz w:val="20"/>
          <w:szCs w:val="20"/>
        </w:rPr>
      </w:pPr>
      <w:r>
        <w:rPr>
          <w:sz w:val="20"/>
          <w:szCs w:val="20"/>
        </w:rPr>
        <w:t>Reticulocyte count: 0.1% of erythrocytes</w:t>
      </w:r>
    </w:p>
    <w:p w14:paraId="1368EDCE" w14:textId="7BEA2A49" w:rsidR="00FA454F" w:rsidRDefault="00FA454F" w:rsidP="00A92638">
      <w:pPr>
        <w:snapToGrid w:val="0"/>
        <w:spacing w:after="0" w:line="240" w:lineRule="auto"/>
        <w:rPr>
          <w:sz w:val="20"/>
          <w:szCs w:val="20"/>
        </w:rPr>
      </w:pPr>
      <w:r>
        <w:rPr>
          <w:sz w:val="20"/>
          <w:szCs w:val="20"/>
        </w:rPr>
        <w:t>Bilirubin</w:t>
      </w:r>
    </w:p>
    <w:p w14:paraId="0385874E" w14:textId="4B97BF78" w:rsidR="00FA454F" w:rsidRDefault="00FA454F" w:rsidP="00A92638">
      <w:pPr>
        <w:snapToGrid w:val="0"/>
        <w:spacing w:after="0" w:line="240" w:lineRule="auto"/>
        <w:rPr>
          <w:sz w:val="20"/>
          <w:szCs w:val="20"/>
        </w:rPr>
      </w:pPr>
      <w:r>
        <w:rPr>
          <w:sz w:val="20"/>
          <w:szCs w:val="20"/>
        </w:rPr>
        <w:t xml:space="preserve">     Total: 4.0 mg/dL (H)</w:t>
      </w:r>
    </w:p>
    <w:p w14:paraId="04F2A93D" w14:textId="09CE54CC" w:rsidR="00FA454F" w:rsidRDefault="00FA454F" w:rsidP="00A92638">
      <w:pPr>
        <w:snapToGrid w:val="0"/>
        <w:spacing w:after="0" w:line="240" w:lineRule="auto"/>
        <w:rPr>
          <w:sz w:val="20"/>
          <w:szCs w:val="20"/>
        </w:rPr>
      </w:pPr>
      <w:r>
        <w:rPr>
          <w:sz w:val="20"/>
          <w:szCs w:val="20"/>
        </w:rPr>
        <w:t xml:space="preserve">     Direct: 0.5 mg/dL (H)</w:t>
      </w:r>
    </w:p>
    <w:p w14:paraId="00D867DB" w14:textId="271E1FED" w:rsidR="00FA454F" w:rsidRDefault="00FA454F" w:rsidP="00A92638">
      <w:pPr>
        <w:snapToGrid w:val="0"/>
        <w:spacing w:after="0" w:line="240" w:lineRule="auto"/>
        <w:rPr>
          <w:sz w:val="20"/>
          <w:szCs w:val="20"/>
        </w:rPr>
      </w:pPr>
      <w:r>
        <w:rPr>
          <w:sz w:val="20"/>
          <w:szCs w:val="20"/>
        </w:rPr>
        <w:t>Lactate dehydrogenase: 500 (H)</w:t>
      </w:r>
    </w:p>
    <w:p w14:paraId="47F75C8D" w14:textId="77777777" w:rsidR="00A92638" w:rsidRDefault="00A92638" w:rsidP="00A92638">
      <w:pPr>
        <w:spacing w:after="0" w:line="240" w:lineRule="auto"/>
        <w:rPr>
          <w:sz w:val="20"/>
          <w:szCs w:val="20"/>
        </w:rPr>
      </w:pPr>
    </w:p>
    <w:p w14:paraId="0FFDBC16" w14:textId="6469F5C3" w:rsidR="00A92638" w:rsidRDefault="00FA454F" w:rsidP="00A92638">
      <w:pPr>
        <w:spacing w:after="0" w:line="240" w:lineRule="auto"/>
        <w:rPr>
          <w:sz w:val="20"/>
          <w:szCs w:val="20"/>
        </w:rPr>
      </w:pPr>
      <w:r>
        <w:rPr>
          <w:sz w:val="20"/>
          <w:szCs w:val="20"/>
        </w:rPr>
        <w:t>A direct antiglobulin test is negative.</w:t>
      </w:r>
    </w:p>
    <w:p w14:paraId="15F9B732" w14:textId="77777777" w:rsidR="00FA454F" w:rsidRDefault="00FA454F" w:rsidP="00A92638">
      <w:pPr>
        <w:spacing w:after="0" w:line="240" w:lineRule="auto"/>
        <w:rPr>
          <w:sz w:val="20"/>
          <w:szCs w:val="20"/>
        </w:rPr>
      </w:pPr>
    </w:p>
    <w:p w14:paraId="15C7AE72" w14:textId="3BD2B059" w:rsidR="00FA454F" w:rsidRDefault="00FA454F" w:rsidP="00A92638">
      <w:pPr>
        <w:spacing w:after="0" w:line="240" w:lineRule="auto"/>
        <w:rPr>
          <w:sz w:val="20"/>
          <w:szCs w:val="20"/>
        </w:rPr>
      </w:pPr>
      <w:r>
        <w:rPr>
          <w:sz w:val="20"/>
          <w:szCs w:val="20"/>
        </w:rPr>
        <w:t>Peripheral blood smear shows spherocytes.</w:t>
      </w:r>
    </w:p>
    <w:p w14:paraId="28360AA3" w14:textId="77777777" w:rsidR="00FA454F" w:rsidRPr="00FA454F" w:rsidRDefault="00FA454F" w:rsidP="00A92638">
      <w:pPr>
        <w:spacing w:after="0" w:line="240" w:lineRule="auto"/>
        <w:rPr>
          <w:b/>
          <w:bCs/>
          <w:sz w:val="20"/>
          <w:szCs w:val="20"/>
        </w:rPr>
      </w:pPr>
    </w:p>
    <w:p w14:paraId="6A6458C0" w14:textId="4D73FA74" w:rsidR="00FA454F" w:rsidRPr="00FA454F" w:rsidRDefault="00FA454F" w:rsidP="00A92638">
      <w:pPr>
        <w:spacing w:after="0" w:line="240" w:lineRule="auto"/>
        <w:rPr>
          <w:b/>
          <w:bCs/>
          <w:sz w:val="20"/>
          <w:szCs w:val="20"/>
        </w:rPr>
      </w:pPr>
      <w:r w:rsidRPr="00FA454F">
        <w:rPr>
          <w:b/>
          <w:bCs/>
          <w:sz w:val="20"/>
          <w:szCs w:val="20"/>
        </w:rPr>
        <w:t>Which of the following is the most likely diagnosis?</w:t>
      </w:r>
    </w:p>
    <w:p w14:paraId="67016E52" w14:textId="77777777" w:rsidR="00FA454F" w:rsidRDefault="00FA454F" w:rsidP="00A92638">
      <w:pPr>
        <w:spacing w:after="0" w:line="240" w:lineRule="auto"/>
        <w:rPr>
          <w:sz w:val="20"/>
          <w:szCs w:val="20"/>
        </w:rPr>
      </w:pPr>
    </w:p>
    <w:p w14:paraId="30DEEF5E" w14:textId="43880F39" w:rsidR="00FA454F" w:rsidRDefault="00FA454F" w:rsidP="00A92638">
      <w:pPr>
        <w:spacing w:after="0" w:line="240" w:lineRule="auto"/>
        <w:rPr>
          <w:sz w:val="20"/>
          <w:szCs w:val="20"/>
        </w:rPr>
      </w:pPr>
      <w:r>
        <w:rPr>
          <w:sz w:val="20"/>
          <w:szCs w:val="20"/>
        </w:rPr>
        <w:t>A. Autoimmune hemolytic anemia</w:t>
      </w:r>
    </w:p>
    <w:p w14:paraId="4ADC2E0E" w14:textId="7790898D" w:rsidR="00FA454F" w:rsidRDefault="00FA454F" w:rsidP="00A92638">
      <w:pPr>
        <w:spacing w:after="0" w:line="240" w:lineRule="auto"/>
        <w:rPr>
          <w:sz w:val="20"/>
          <w:szCs w:val="20"/>
        </w:rPr>
      </w:pPr>
      <w:r>
        <w:rPr>
          <w:sz w:val="20"/>
          <w:szCs w:val="20"/>
        </w:rPr>
        <w:t>B. Chronic lymphocytic leukemia</w:t>
      </w:r>
    </w:p>
    <w:p w14:paraId="520CEC29" w14:textId="304ED743" w:rsidR="00FA454F" w:rsidRDefault="00FA454F" w:rsidP="00A92638">
      <w:pPr>
        <w:spacing w:after="0" w:line="240" w:lineRule="auto"/>
        <w:rPr>
          <w:sz w:val="20"/>
          <w:szCs w:val="20"/>
        </w:rPr>
      </w:pPr>
      <w:r>
        <w:rPr>
          <w:sz w:val="20"/>
          <w:szCs w:val="20"/>
        </w:rPr>
        <w:t>C. Parvovirus B19 infection</w:t>
      </w:r>
    </w:p>
    <w:p w14:paraId="5F43CE68" w14:textId="6757D0B7" w:rsidR="00FA454F" w:rsidRDefault="00FA454F" w:rsidP="00A92638">
      <w:pPr>
        <w:spacing w:after="0" w:line="240" w:lineRule="auto"/>
        <w:rPr>
          <w:sz w:val="20"/>
          <w:szCs w:val="20"/>
        </w:rPr>
      </w:pPr>
      <w:r>
        <w:rPr>
          <w:sz w:val="20"/>
          <w:szCs w:val="20"/>
        </w:rPr>
        <w:t>D. Vitamin B12 deficiency</w:t>
      </w:r>
    </w:p>
    <w:p w14:paraId="1F836CB7" w14:textId="77777777" w:rsidR="00FA454F" w:rsidRDefault="00FA454F" w:rsidP="00A92638">
      <w:pPr>
        <w:spacing w:after="0" w:line="240" w:lineRule="auto"/>
        <w:rPr>
          <w:sz w:val="20"/>
          <w:szCs w:val="20"/>
        </w:rPr>
      </w:pPr>
    </w:p>
    <w:p w14:paraId="4B01E15C" w14:textId="3B30EBDD" w:rsidR="00FA454F" w:rsidRDefault="00FA454F" w:rsidP="00A92638">
      <w:pPr>
        <w:spacing w:after="0" w:line="240" w:lineRule="auto"/>
        <w:rPr>
          <w:sz w:val="20"/>
          <w:szCs w:val="20"/>
        </w:rPr>
      </w:pPr>
      <w:r>
        <w:rPr>
          <w:sz w:val="20"/>
          <w:szCs w:val="20"/>
        </w:rPr>
        <w:t>3. A 50-year-old woman is evaluated in the hospital for anemia. She was hospitalized 2 days ago for shortness of breath, which has improved with diuresis with intravenous furosemide. Medical history is remarkable for heart failure with reduced ejection fraction, coronary artery disease, and type 2 diabetes mellitus. Other medications are valsartan-sacubitril, metoprolol, spironolactone, empagliflozin, aspirin, and atorvastatin.</w:t>
      </w:r>
    </w:p>
    <w:p w14:paraId="37C74BF5" w14:textId="77777777" w:rsidR="00FA454F" w:rsidRDefault="00FA454F" w:rsidP="00A92638">
      <w:pPr>
        <w:spacing w:after="0" w:line="240" w:lineRule="auto"/>
        <w:rPr>
          <w:sz w:val="20"/>
          <w:szCs w:val="20"/>
        </w:rPr>
      </w:pPr>
    </w:p>
    <w:p w14:paraId="36795068" w14:textId="35D7F64D" w:rsidR="00FA454F" w:rsidRDefault="00FA454F" w:rsidP="00A92638">
      <w:pPr>
        <w:spacing w:after="0" w:line="240" w:lineRule="auto"/>
        <w:rPr>
          <w:sz w:val="20"/>
          <w:szCs w:val="20"/>
        </w:rPr>
      </w:pPr>
      <w:r>
        <w:rPr>
          <w:sz w:val="20"/>
          <w:szCs w:val="20"/>
        </w:rPr>
        <w:t>On physical examination, blood pressure is 145/86 mm Hg and pulse rate is 86/min. Oxygen saturation is 94% breathing 2L/min oxygen by nasal cannula. Jugular venous distension is present. Pulmonary examination reveals bibasilar crackles. Bilateral pitting edema is noted.</w:t>
      </w:r>
    </w:p>
    <w:p w14:paraId="541E8C44" w14:textId="77777777" w:rsidR="00FA454F" w:rsidRDefault="00FA454F" w:rsidP="00A92638">
      <w:pPr>
        <w:spacing w:after="0" w:line="240" w:lineRule="auto"/>
        <w:rPr>
          <w:sz w:val="20"/>
          <w:szCs w:val="20"/>
        </w:rPr>
      </w:pPr>
    </w:p>
    <w:p w14:paraId="6D8D5A8F" w14:textId="354D2614" w:rsidR="00FA454F" w:rsidRPr="00B81D90" w:rsidRDefault="00FA454F" w:rsidP="00A92638">
      <w:pPr>
        <w:spacing w:after="0" w:line="240" w:lineRule="auto"/>
        <w:rPr>
          <w:b/>
          <w:bCs/>
          <w:sz w:val="20"/>
          <w:szCs w:val="20"/>
        </w:rPr>
      </w:pPr>
      <w:r w:rsidRPr="00B81D90">
        <w:rPr>
          <w:b/>
          <w:bCs/>
          <w:sz w:val="20"/>
          <w:szCs w:val="20"/>
        </w:rPr>
        <w:t>Laboratory studies:</w:t>
      </w:r>
    </w:p>
    <w:p w14:paraId="6F8D4C4D" w14:textId="745ABA7A" w:rsidR="00FA454F" w:rsidRDefault="00FA454F" w:rsidP="00A92638">
      <w:pPr>
        <w:spacing w:after="0" w:line="240" w:lineRule="auto"/>
        <w:rPr>
          <w:sz w:val="20"/>
          <w:szCs w:val="20"/>
        </w:rPr>
      </w:pPr>
      <w:r>
        <w:rPr>
          <w:sz w:val="20"/>
          <w:szCs w:val="20"/>
        </w:rPr>
        <w:t>Hematocrit: 29%</w:t>
      </w:r>
    </w:p>
    <w:p w14:paraId="33637EF7" w14:textId="7D4561C1" w:rsidR="00FA454F" w:rsidRDefault="00FA454F" w:rsidP="00A92638">
      <w:pPr>
        <w:spacing w:after="0" w:line="240" w:lineRule="auto"/>
        <w:rPr>
          <w:sz w:val="20"/>
          <w:szCs w:val="20"/>
        </w:rPr>
      </w:pPr>
      <w:r>
        <w:rPr>
          <w:sz w:val="20"/>
          <w:szCs w:val="20"/>
        </w:rPr>
        <w:t>Hemoglobin: 9.5 g/dL</w:t>
      </w:r>
    </w:p>
    <w:p w14:paraId="26FBA862" w14:textId="21699186" w:rsidR="00FA454F" w:rsidRDefault="00FA454F" w:rsidP="00A92638">
      <w:pPr>
        <w:spacing w:after="0" w:line="240" w:lineRule="auto"/>
        <w:rPr>
          <w:sz w:val="20"/>
          <w:szCs w:val="20"/>
        </w:rPr>
      </w:pPr>
      <w:r>
        <w:rPr>
          <w:sz w:val="20"/>
          <w:szCs w:val="20"/>
        </w:rPr>
        <w:t xml:space="preserve">Mean corpuscular volume: 85 </w:t>
      </w:r>
      <w:proofErr w:type="spellStart"/>
      <w:r>
        <w:rPr>
          <w:sz w:val="20"/>
          <w:szCs w:val="20"/>
        </w:rPr>
        <w:t>fL</w:t>
      </w:r>
      <w:proofErr w:type="spellEnd"/>
    </w:p>
    <w:p w14:paraId="31F6CA89" w14:textId="7BF573B1" w:rsidR="00FA454F" w:rsidRDefault="00FA454F" w:rsidP="00A92638">
      <w:pPr>
        <w:spacing w:after="0" w:line="240" w:lineRule="auto"/>
        <w:rPr>
          <w:sz w:val="20"/>
          <w:szCs w:val="20"/>
        </w:rPr>
      </w:pPr>
      <w:r>
        <w:rPr>
          <w:sz w:val="20"/>
          <w:szCs w:val="20"/>
        </w:rPr>
        <w:t>Leukocyte count: 7200/</w:t>
      </w:r>
      <w:proofErr w:type="spellStart"/>
      <w:r>
        <w:rPr>
          <w:sz w:val="20"/>
          <w:szCs w:val="20"/>
        </w:rPr>
        <w:t>uL</w:t>
      </w:r>
      <w:proofErr w:type="spellEnd"/>
      <w:r>
        <w:rPr>
          <w:sz w:val="20"/>
          <w:szCs w:val="20"/>
        </w:rPr>
        <w:t xml:space="preserve"> with normal differential</w:t>
      </w:r>
    </w:p>
    <w:p w14:paraId="2A747CD7" w14:textId="3011793E" w:rsidR="00FA454F" w:rsidRDefault="00FA454F" w:rsidP="00A92638">
      <w:pPr>
        <w:spacing w:after="0" w:line="240" w:lineRule="auto"/>
        <w:rPr>
          <w:sz w:val="20"/>
          <w:szCs w:val="20"/>
        </w:rPr>
      </w:pPr>
      <w:r>
        <w:rPr>
          <w:sz w:val="20"/>
          <w:szCs w:val="20"/>
        </w:rPr>
        <w:t>Platelet count: 250,000/</w:t>
      </w:r>
      <w:proofErr w:type="spellStart"/>
      <w:r>
        <w:rPr>
          <w:sz w:val="20"/>
          <w:szCs w:val="20"/>
        </w:rPr>
        <w:t>uL</w:t>
      </w:r>
      <w:proofErr w:type="spellEnd"/>
    </w:p>
    <w:p w14:paraId="273D0E71" w14:textId="71D3B94F" w:rsidR="00FA454F" w:rsidRDefault="00FA454F" w:rsidP="00A92638">
      <w:pPr>
        <w:spacing w:after="0" w:line="240" w:lineRule="auto"/>
        <w:rPr>
          <w:sz w:val="20"/>
          <w:szCs w:val="20"/>
        </w:rPr>
      </w:pPr>
      <w:r>
        <w:rPr>
          <w:sz w:val="20"/>
          <w:szCs w:val="20"/>
        </w:rPr>
        <w:t>Reticulocyte count: 1% of erythrocytes</w:t>
      </w:r>
    </w:p>
    <w:p w14:paraId="58491469" w14:textId="6D18F5BB" w:rsidR="00FA454F" w:rsidRDefault="00FA454F" w:rsidP="00A92638">
      <w:pPr>
        <w:spacing w:after="0" w:line="240" w:lineRule="auto"/>
        <w:rPr>
          <w:sz w:val="20"/>
          <w:szCs w:val="20"/>
        </w:rPr>
      </w:pPr>
      <w:r>
        <w:rPr>
          <w:sz w:val="20"/>
          <w:szCs w:val="20"/>
        </w:rPr>
        <w:t>Iron studies:</w:t>
      </w:r>
    </w:p>
    <w:p w14:paraId="6FDB00F2" w14:textId="0EDE98D2" w:rsidR="00FA454F" w:rsidRDefault="00B81D90" w:rsidP="00A92638">
      <w:pPr>
        <w:spacing w:after="0" w:line="240" w:lineRule="auto"/>
        <w:rPr>
          <w:sz w:val="20"/>
          <w:szCs w:val="20"/>
        </w:rPr>
      </w:pPr>
      <w:r>
        <w:rPr>
          <w:sz w:val="20"/>
          <w:szCs w:val="20"/>
        </w:rPr>
        <w:t xml:space="preserve">     Ferritin: 195 mg/dL</w:t>
      </w:r>
    </w:p>
    <w:p w14:paraId="721C98D0" w14:textId="0458709D" w:rsidR="00B81D90" w:rsidRDefault="00B81D90" w:rsidP="00A92638">
      <w:pPr>
        <w:spacing w:after="0" w:line="240" w:lineRule="auto"/>
        <w:rPr>
          <w:sz w:val="20"/>
          <w:szCs w:val="20"/>
        </w:rPr>
      </w:pPr>
      <w:r>
        <w:rPr>
          <w:sz w:val="20"/>
          <w:szCs w:val="20"/>
        </w:rPr>
        <w:t xml:space="preserve">     Iron: 20 ug/d. (L)</w:t>
      </w:r>
    </w:p>
    <w:p w14:paraId="2A93D880" w14:textId="2D81F5DD" w:rsidR="00B81D90" w:rsidRDefault="00B81D90" w:rsidP="00A92638">
      <w:pPr>
        <w:spacing w:after="0" w:line="240" w:lineRule="auto"/>
        <w:rPr>
          <w:sz w:val="20"/>
          <w:szCs w:val="20"/>
        </w:rPr>
      </w:pPr>
      <w:r>
        <w:rPr>
          <w:sz w:val="20"/>
          <w:szCs w:val="20"/>
        </w:rPr>
        <w:t xml:space="preserve">     Total iron binding capacity: 210 (L)</w:t>
      </w:r>
    </w:p>
    <w:p w14:paraId="1CF6EA67" w14:textId="17BB87AE" w:rsidR="00B81D90" w:rsidRDefault="00B81D90" w:rsidP="00A92638">
      <w:pPr>
        <w:spacing w:after="0" w:line="240" w:lineRule="auto"/>
        <w:rPr>
          <w:sz w:val="20"/>
          <w:szCs w:val="20"/>
        </w:rPr>
      </w:pPr>
      <w:r>
        <w:rPr>
          <w:sz w:val="20"/>
          <w:szCs w:val="20"/>
        </w:rPr>
        <w:t xml:space="preserve">     Transferrin saturation: 9.5% (L)</w:t>
      </w:r>
    </w:p>
    <w:p w14:paraId="40DCD735" w14:textId="77777777" w:rsidR="00B81D90" w:rsidRDefault="00B81D90" w:rsidP="00A92638">
      <w:pPr>
        <w:spacing w:after="0" w:line="240" w:lineRule="auto"/>
        <w:rPr>
          <w:sz w:val="20"/>
          <w:szCs w:val="20"/>
        </w:rPr>
      </w:pPr>
    </w:p>
    <w:p w14:paraId="6ADFA15E" w14:textId="0BD636E7" w:rsidR="00B81D90" w:rsidRPr="00B96437" w:rsidRDefault="00B81D90" w:rsidP="00A92638">
      <w:pPr>
        <w:spacing w:after="0" w:line="240" w:lineRule="auto"/>
        <w:rPr>
          <w:b/>
          <w:bCs/>
          <w:sz w:val="20"/>
          <w:szCs w:val="20"/>
        </w:rPr>
      </w:pPr>
      <w:r w:rsidRPr="00B96437">
        <w:rPr>
          <w:b/>
          <w:bCs/>
          <w:sz w:val="20"/>
          <w:szCs w:val="20"/>
        </w:rPr>
        <w:t>Which of the following is the most likely cause of this patient’s anemia?</w:t>
      </w:r>
    </w:p>
    <w:p w14:paraId="3B8EF0CE" w14:textId="77777777" w:rsidR="00B81D90" w:rsidRDefault="00B81D90" w:rsidP="00A92638">
      <w:pPr>
        <w:spacing w:after="0" w:line="240" w:lineRule="auto"/>
        <w:rPr>
          <w:sz w:val="20"/>
          <w:szCs w:val="20"/>
        </w:rPr>
      </w:pPr>
    </w:p>
    <w:p w14:paraId="50C8F1C5" w14:textId="301040CB" w:rsidR="00B81D90" w:rsidRDefault="00B81D90" w:rsidP="00A92638">
      <w:pPr>
        <w:spacing w:after="0" w:line="240" w:lineRule="auto"/>
        <w:rPr>
          <w:sz w:val="20"/>
          <w:szCs w:val="20"/>
        </w:rPr>
      </w:pPr>
      <w:r>
        <w:rPr>
          <w:sz w:val="20"/>
          <w:szCs w:val="20"/>
        </w:rPr>
        <w:t>A. Anemia of inflammation</w:t>
      </w:r>
    </w:p>
    <w:p w14:paraId="5E1F2B13" w14:textId="34AD4B31" w:rsidR="00B81D90" w:rsidRDefault="00B81D90" w:rsidP="00A92638">
      <w:pPr>
        <w:spacing w:after="0" w:line="240" w:lineRule="auto"/>
        <w:rPr>
          <w:sz w:val="20"/>
          <w:szCs w:val="20"/>
        </w:rPr>
      </w:pPr>
      <w:r>
        <w:rPr>
          <w:sz w:val="20"/>
          <w:szCs w:val="20"/>
        </w:rPr>
        <w:t>B. Anemia of inflammation and iron deficiency</w:t>
      </w:r>
    </w:p>
    <w:p w14:paraId="2E30C34B" w14:textId="24ADFE6C" w:rsidR="00B81D90" w:rsidRDefault="00B81D90" w:rsidP="00A92638">
      <w:pPr>
        <w:spacing w:after="0" w:line="240" w:lineRule="auto"/>
        <w:rPr>
          <w:sz w:val="20"/>
          <w:szCs w:val="20"/>
        </w:rPr>
      </w:pPr>
      <w:r>
        <w:rPr>
          <w:sz w:val="20"/>
          <w:szCs w:val="20"/>
        </w:rPr>
        <w:t>C. Iron deficiency anemia</w:t>
      </w:r>
    </w:p>
    <w:p w14:paraId="02F28D2C" w14:textId="3DBEE507" w:rsidR="00B81D90" w:rsidRDefault="00B81D90" w:rsidP="00A92638">
      <w:pPr>
        <w:spacing w:after="0" w:line="240" w:lineRule="auto"/>
        <w:rPr>
          <w:sz w:val="20"/>
          <w:szCs w:val="20"/>
        </w:rPr>
      </w:pPr>
      <w:r>
        <w:rPr>
          <w:sz w:val="20"/>
          <w:szCs w:val="20"/>
        </w:rPr>
        <w:t>D. Myelodysplastic syndrome</w:t>
      </w:r>
    </w:p>
    <w:p w14:paraId="43FCBF3F" w14:textId="77777777" w:rsidR="00B81D90" w:rsidRDefault="00B81D90" w:rsidP="00A92638">
      <w:pPr>
        <w:spacing w:after="0" w:line="240" w:lineRule="auto"/>
        <w:rPr>
          <w:sz w:val="20"/>
          <w:szCs w:val="20"/>
        </w:rPr>
      </w:pPr>
    </w:p>
    <w:p w14:paraId="3F560BDA" w14:textId="7C9EE2B6" w:rsidR="00B81D90" w:rsidRDefault="00B81D90" w:rsidP="00A92638">
      <w:pPr>
        <w:spacing w:after="0" w:line="240" w:lineRule="auto"/>
        <w:rPr>
          <w:sz w:val="20"/>
          <w:szCs w:val="20"/>
        </w:rPr>
      </w:pPr>
      <w:r>
        <w:rPr>
          <w:sz w:val="20"/>
          <w:szCs w:val="20"/>
        </w:rPr>
        <w:t xml:space="preserve">4. </w:t>
      </w:r>
      <w:r w:rsidR="00B96437">
        <w:rPr>
          <w:sz w:val="20"/>
          <w:szCs w:val="20"/>
        </w:rPr>
        <w:t xml:space="preserve">A 62-year-old patient undergoes follow-up evaluation for iron deficiency anemia. They have a history of recurrent gastrointestinal bleeding secondary to colonic arteriovenous malformations for which they underwent colectomy 6 weeks ago. Three weeks ago, their hemoglobin level was 7.2 g/dL and serum ferritin was 6 ng/mL; daily ferrous sulfate was started. They have had no further bleeding. Medical history is otherwise </w:t>
      </w:r>
      <w:proofErr w:type="gramStart"/>
      <w:r w:rsidR="00B96437">
        <w:rPr>
          <w:sz w:val="20"/>
          <w:szCs w:val="20"/>
        </w:rPr>
        <w:t>unremarkable</w:t>
      </w:r>
      <w:proofErr w:type="gramEnd"/>
      <w:r w:rsidR="00B96437">
        <w:rPr>
          <w:sz w:val="20"/>
          <w:szCs w:val="20"/>
        </w:rPr>
        <w:t xml:space="preserve"> and they take no other medications.</w:t>
      </w:r>
    </w:p>
    <w:p w14:paraId="35258DA4" w14:textId="77777777" w:rsidR="00B96437" w:rsidRDefault="00B96437" w:rsidP="00A92638">
      <w:pPr>
        <w:spacing w:after="0" w:line="240" w:lineRule="auto"/>
        <w:rPr>
          <w:sz w:val="20"/>
          <w:szCs w:val="20"/>
        </w:rPr>
      </w:pPr>
    </w:p>
    <w:p w14:paraId="2DAE9A94" w14:textId="5949538A" w:rsidR="00B96437" w:rsidRDefault="00B96437" w:rsidP="00A92638">
      <w:pPr>
        <w:spacing w:after="0" w:line="240" w:lineRule="auto"/>
        <w:rPr>
          <w:sz w:val="20"/>
          <w:szCs w:val="20"/>
        </w:rPr>
      </w:pPr>
      <w:r>
        <w:rPr>
          <w:sz w:val="20"/>
          <w:szCs w:val="20"/>
        </w:rPr>
        <w:t xml:space="preserve">The physical examination, including vital signs is normal. </w:t>
      </w:r>
    </w:p>
    <w:p w14:paraId="1E904699" w14:textId="77777777" w:rsidR="00B96437" w:rsidRDefault="00B96437" w:rsidP="00A92638">
      <w:pPr>
        <w:spacing w:after="0" w:line="240" w:lineRule="auto"/>
        <w:rPr>
          <w:sz w:val="20"/>
          <w:szCs w:val="20"/>
        </w:rPr>
      </w:pPr>
    </w:p>
    <w:p w14:paraId="02BB0BFF" w14:textId="62559462" w:rsidR="00B96437" w:rsidRPr="00B96437" w:rsidRDefault="00B96437" w:rsidP="00A92638">
      <w:pPr>
        <w:spacing w:after="0" w:line="240" w:lineRule="auto"/>
        <w:rPr>
          <w:b/>
          <w:bCs/>
          <w:sz w:val="20"/>
          <w:szCs w:val="20"/>
        </w:rPr>
      </w:pPr>
      <w:r w:rsidRPr="00B96437">
        <w:rPr>
          <w:b/>
          <w:bCs/>
          <w:sz w:val="20"/>
          <w:szCs w:val="20"/>
        </w:rPr>
        <w:t>Repeat laboratory studies:</w:t>
      </w:r>
    </w:p>
    <w:p w14:paraId="0A439F30" w14:textId="7D5A10AE" w:rsidR="00B81D90" w:rsidRDefault="00B96437" w:rsidP="00A92638">
      <w:pPr>
        <w:spacing w:after="0" w:line="240" w:lineRule="auto"/>
        <w:rPr>
          <w:sz w:val="20"/>
          <w:szCs w:val="20"/>
        </w:rPr>
      </w:pPr>
      <w:r>
        <w:rPr>
          <w:sz w:val="20"/>
          <w:szCs w:val="20"/>
        </w:rPr>
        <w:t>Hemoglobin: 10.1 g/dL</w:t>
      </w:r>
    </w:p>
    <w:p w14:paraId="1B76CFFC" w14:textId="4CE95431" w:rsidR="00B96437" w:rsidRDefault="00B96437" w:rsidP="00A92638">
      <w:pPr>
        <w:spacing w:after="0" w:line="240" w:lineRule="auto"/>
        <w:rPr>
          <w:sz w:val="20"/>
          <w:szCs w:val="20"/>
        </w:rPr>
      </w:pPr>
      <w:r>
        <w:rPr>
          <w:sz w:val="20"/>
          <w:szCs w:val="20"/>
        </w:rPr>
        <w:t xml:space="preserve">Mean corpuscular volume: 82 </w:t>
      </w:r>
      <w:proofErr w:type="spellStart"/>
      <w:r>
        <w:rPr>
          <w:sz w:val="20"/>
          <w:szCs w:val="20"/>
        </w:rPr>
        <w:t>fL</w:t>
      </w:r>
      <w:proofErr w:type="spellEnd"/>
    </w:p>
    <w:p w14:paraId="45A1679A" w14:textId="72938FDD" w:rsidR="00B96437" w:rsidRDefault="00B96437" w:rsidP="00A92638">
      <w:pPr>
        <w:spacing w:after="0" w:line="240" w:lineRule="auto"/>
        <w:rPr>
          <w:sz w:val="20"/>
          <w:szCs w:val="20"/>
        </w:rPr>
      </w:pPr>
      <w:r>
        <w:rPr>
          <w:sz w:val="20"/>
          <w:szCs w:val="20"/>
        </w:rPr>
        <w:t>Reticulocyte count: 8% of erythrocytes</w:t>
      </w:r>
    </w:p>
    <w:p w14:paraId="677E3FB7" w14:textId="54D04C05" w:rsidR="00B96437" w:rsidRDefault="00B96437" w:rsidP="00A92638">
      <w:pPr>
        <w:spacing w:after="0" w:line="240" w:lineRule="auto"/>
        <w:rPr>
          <w:sz w:val="20"/>
          <w:szCs w:val="20"/>
        </w:rPr>
      </w:pPr>
      <w:r>
        <w:rPr>
          <w:sz w:val="20"/>
          <w:szCs w:val="20"/>
        </w:rPr>
        <w:t>Ferritin: 10 ng/mL</w:t>
      </w:r>
    </w:p>
    <w:p w14:paraId="0876F411" w14:textId="77777777" w:rsidR="00B96437" w:rsidRDefault="00B96437" w:rsidP="00A92638">
      <w:pPr>
        <w:spacing w:after="0" w:line="240" w:lineRule="auto"/>
        <w:rPr>
          <w:sz w:val="20"/>
          <w:szCs w:val="20"/>
        </w:rPr>
      </w:pPr>
    </w:p>
    <w:p w14:paraId="386ABA22" w14:textId="7BCF97F1" w:rsidR="00B96437" w:rsidRPr="008176B5" w:rsidRDefault="00B96437" w:rsidP="00A92638">
      <w:pPr>
        <w:spacing w:after="0" w:line="240" w:lineRule="auto"/>
        <w:rPr>
          <w:b/>
          <w:bCs/>
          <w:sz w:val="20"/>
          <w:szCs w:val="20"/>
        </w:rPr>
      </w:pPr>
      <w:r w:rsidRPr="008176B5">
        <w:rPr>
          <w:b/>
          <w:bCs/>
          <w:sz w:val="20"/>
          <w:szCs w:val="20"/>
        </w:rPr>
        <w:t>Which of the following is the most appropriate next step in management?</w:t>
      </w:r>
    </w:p>
    <w:p w14:paraId="6588EFB9" w14:textId="77777777" w:rsidR="00B96437" w:rsidRDefault="00B96437" w:rsidP="00A92638">
      <w:pPr>
        <w:spacing w:after="0" w:line="240" w:lineRule="auto"/>
        <w:rPr>
          <w:sz w:val="20"/>
          <w:szCs w:val="20"/>
        </w:rPr>
      </w:pPr>
    </w:p>
    <w:p w14:paraId="2457A0B6" w14:textId="632562F0" w:rsidR="00B96437" w:rsidRDefault="00B96437" w:rsidP="00A92638">
      <w:pPr>
        <w:spacing w:after="0" w:line="240" w:lineRule="auto"/>
        <w:rPr>
          <w:sz w:val="20"/>
          <w:szCs w:val="20"/>
        </w:rPr>
      </w:pPr>
      <w:r>
        <w:rPr>
          <w:sz w:val="20"/>
          <w:szCs w:val="20"/>
        </w:rPr>
        <w:t>A. Administer intravenous ferric gluconate</w:t>
      </w:r>
    </w:p>
    <w:p w14:paraId="4E7A6F90" w14:textId="404CA7A2" w:rsidR="00B96437" w:rsidRDefault="00B96437" w:rsidP="00A92638">
      <w:pPr>
        <w:spacing w:after="0" w:line="240" w:lineRule="auto"/>
        <w:rPr>
          <w:sz w:val="20"/>
          <w:szCs w:val="20"/>
        </w:rPr>
      </w:pPr>
      <w:r>
        <w:rPr>
          <w:sz w:val="20"/>
          <w:szCs w:val="20"/>
        </w:rPr>
        <w:t>B. Check soluble transferrin receptor level</w:t>
      </w:r>
    </w:p>
    <w:p w14:paraId="239C7C7B" w14:textId="44544B1C" w:rsidR="00B96437" w:rsidRDefault="00B96437" w:rsidP="00A92638">
      <w:pPr>
        <w:spacing w:after="0" w:line="240" w:lineRule="auto"/>
        <w:rPr>
          <w:sz w:val="20"/>
          <w:szCs w:val="20"/>
        </w:rPr>
      </w:pPr>
      <w:r>
        <w:rPr>
          <w:sz w:val="20"/>
          <w:szCs w:val="20"/>
        </w:rPr>
        <w:lastRenderedPageBreak/>
        <w:t>C. Increase ferrous sulfate to twice daily</w:t>
      </w:r>
    </w:p>
    <w:p w14:paraId="079867EC" w14:textId="0AC819BD" w:rsidR="00B96437" w:rsidRDefault="00B96437" w:rsidP="00A92638">
      <w:pPr>
        <w:spacing w:after="0" w:line="240" w:lineRule="auto"/>
        <w:rPr>
          <w:sz w:val="20"/>
          <w:szCs w:val="20"/>
        </w:rPr>
      </w:pPr>
      <w:r>
        <w:rPr>
          <w:sz w:val="20"/>
          <w:szCs w:val="20"/>
        </w:rPr>
        <w:t>D. No change in management</w:t>
      </w:r>
    </w:p>
    <w:p w14:paraId="67570BEE" w14:textId="77777777" w:rsidR="00B96437" w:rsidRDefault="00B96437" w:rsidP="00A92638">
      <w:pPr>
        <w:spacing w:after="0" w:line="240" w:lineRule="auto"/>
        <w:rPr>
          <w:sz w:val="20"/>
          <w:szCs w:val="20"/>
        </w:rPr>
      </w:pPr>
    </w:p>
    <w:p w14:paraId="4D1FB79D" w14:textId="7FE42B47" w:rsidR="00B96437" w:rsidRDefault="00B96437" w:rsidP="00A92638">
      <w:pPr>
        <w:spacing w:after="0" w:line="240" w:lineRule="auto"/>
        <w:rPr>
          <w:sz w:val="20"/>
          <w:szCs w:val="20"/>
        </w:rPr>
      </w:pPr>
      <w:r>
        <w:rPr>
          <w:sz w:val="20"/>
          <w:szCs w:val="20"/>
        </w:rPr>
        <w:t xml:space="preserve">5. </w:t>
      </w:r>
      <w:r w:rsidR="0015458A">
        <w:rPr>
          <w:sz w:val="20"/>
          <w:szCs w:val="20"/>
        </w:rPr>
        <w:t xml:space="preserve"> A 65-year-old man is evaluated in </w:t>
      </w:r>
      <w:proofErr w:type="spellStart"/>
      <w:r w:rsidR="0015458A">
        <w:rPr>
          <w:sz w:val="20"/>
          <w:szCs w:val="20"/>
        </w:rPr>
        <w:t>the</w:t>
      </w:r>
      <w:proofErr w:type="spellEnd"/>
      <w:r w:rsidR="0015458A">
        <w:rPr>
          <w:sz w:val="20"/>
          <w:szCs w:val="20"/>
        </w:rPr>
        <w:t xml:space="preserve"> emergency department for left calf pain of 2 days’ duration. Medical history is significant for pulmonary embolism following arthroscopic surgery of his right knee at age 52 years. He has no family history of thrombosis, and he takes no medications.</w:t>
      </w:r>
    </w:p>
    <w:p w14:paraId="6522A1F0" w14:textId="77777777" w:rsidR="0015458A" w:rsidRDefault="0015458A" w:rsidP="00A92638">
      <w:pPr>
        <w:spacing w:after="0" w:line="240" w:lineRule="auto"/>
        <w:rPr>
          <w:sz w:val="20"/>
          <w:szCs w:val="20"/>
        </w:rPr>
      </w:pPr>
    </w:p>
    <w:p w14:paraId="55109ADE" w14:textId="77C459A4" w:rsidR="0015458A" w:rsidRDefault="0015458A" w:rsidP="00A92638">
      <w:pPr>
        <w:spacing w:after="0" w:line="240" w:lineRule="auto"/>
        <w:rPr>
          <w:sz w:val="20"/>
          <w:szCs w:val="20"/>
        </w:rPr>
      </w:pPr>
      <w:r>
        <w:rPr>
          <w:sz w:val="20"/>
          <w:szCs w:val="20"/>
        </w:rPr>
        <w:t>On physical examination, vital signs are normal. The left calf is mildly tender to palpation. He has no edema or erythema of the legs.</w:t>
      </w:r>
    </w:p>
    <w:p w14:paraId="71F7ED06" w14:textId="77777777" w:rsidR="0015458A" w:rsidRDefault="0015458A" w:rsidP="00A92638">
      <w:pPr>
        <w:spacing w:after="0" w:line="240" w:lineRule="auto"/>
        <w:rPr>
          <w:sz w:val="20"/>
          <w:szCs w:val="20"/>
        </w:rPr>
      </w:pPr>
    </w:p>
    <w:p w14:paraId="5589DFD2" w14:textId="1F61892E" w:rsidR="0015458A" w:rsidRDefault="0015458A" w:rsidP="00A92638">
      <w:pPr>
        <w:spacing w:after="0" w:line="240" w:lineRule="auto"/>
        <w:rPr>
          <w:sz w:val="20"/>
          <w:szCs w:val="20"/>
        </w:rPr>
      </w:pPr>
      <w:r>
        <w:rPr>
          <w:sz w:val="20"/>
          <w:szCs w:val="20"/>
        </w:rPr>
        <w:t>Duplex ultrasound shows thrombosis of the distal anterior tibial vein that is 3 cm in length.</w:t>
      </w:r>
    </w:p>
    <w:p w14:paraId="3989A8EF" w14:textId="77777777" w:rsidR="0015458A" w:rsidRDefault="0015458A" w:rsidP="00A92638">
      <w:pPr>
        <w:spacing w:after="0" w:line="240" w:lineRule="auto"/>
        <w:rPr>
          <w:sz w:val="20"/>
          <w:szCs w:val="20"/>
        </w:rPr>
      </w:pPr>
    </w:p>
    <w:p w14:paraId="59D9C4B0" w14:textId="6FB7DE69" w:rsidR="0015458A" w:rsidRPr="0015458A" w:rsidRDefault="0015458A" w:rsidP="00A92638">
      <w:pPr>
        <w:spacing w:after="0" w:line="240" w:lineRule="auto"/>
        <w:rPr>
          <w:b/>
          <w:bCs/>
          <w:sz w:val="20"/>
          <w:szCs w:val="20"/>
        </w:rPr>
      </w:pPr>
      <w:r w:rsidRPr="0015458A">
        <w:rPr>
          <w:b/>
          <w:bCs/>
          <w:sz w:val="20"/>
          <w:szCs w:val="20"/>
        </w:rPr>
        <w:t>Which of the following is the most appropriate management?</w:t>
      </w:r>
    </w:p>
    <w:p w14:paraId="4E8AFAF7" w14:textId="77777777" w:rsidR="0015458A" w:rsidRDefault="0015458A" w:rsidP="00A92638">
      <w:pPr>
        <w:spacing w:after="0" w:line="240" w:lineRule="auto"/>
        <w:rPr>
          <w:sz w:val="20"/>
          <w:szCs w:val="20"/>
        </w:rPr>
      </w:pPr>
    </w:p>
    <w:p w14:paraId="2D261814" w14:textId="75396965" w:rsidR="0015458A" w:rsidRDefault="0015458A" w:rsidP="00A92638">
      <w:pPr>
        <w:spacing w:after="0" w:line="240" w:lineRule="auto"/>
        <w:rPr>
          <w:sz w:val="20"/>
          <w:szCs w:val="20"/>
        </w:rPr>
      </w:pPr>
      <w:r>
        <w:rPr>
          <w:sz w:val="20"/>
          <w:szCs w:val="20"/>
        </w:rPr>
        <w:t>A. Apixaban</w:t>
      </w:r>
    </w:p>
    <w:p w14:paraId="6511ADAD" w14:textId="2A41930D" w:rsidR="0015458A" w:rsidRDefault="0015458A" w:rsidP="00A92638">
      <w:pPr>
        <w:spacing w:after="0" w:line="240" w:lineRule="auto"/>
        <w:rPr>
          <w:sz w:val="20"/>
          <w:szCs w:val="20"/>
        </w:rPr>
      </w:pPr>
      <w:r>
        <w:rPr>
          <w:sz w:val="20"/>
          <w:szCs w:val="20"/>
        </w:rPr>
        <w:t>B. CT angiography of the chest</w:t>
      </w:r>
    </w:p>
    <w:p w14:paraId="62D70F20" w14:textId="747C1BCA" w:rsidR="0015458A" w:rsidRDefault="0015458A" w:rsidP="00A92638">
      <w:pPr>
        <w:spacing w:after="0" w:line="240" w:lineRule="auto"/>
        <w:rPr>
          <w:sz w:val="20"/>
          <w:szCs w:val="20"/>
        </w:rPr>
      </w:pPr>
      <w:r>
        <w:rPr>
          <w:sz w:val="20"/>
          <w:szCs w:val="20"/>
        </w:rPr>
        <w:t>C. Repeat lower extremity ultrasound in 1 week</w:t>
      </w:r>
    </w:p>
    <w:p w14:paraId="1F3D5E78" w14:textId="72A85640" w:rsidR="0015458A" w:rsidRDefault="0015458A" w:rsidP="00A92638">
      <w:pPr>
        <w:spacing w:after="0" w:line="240" w:lineRule="auto"/>
        <w:rPr>
          <w:sz w:val="20"/>
          <w:szCs w:val="20"/>
        </w:rPr>
      </w:pPr>
      <w:r>
        <w:rPr>
          <w:sz w:val="20"/>
          <w:szCs w:val="20"/>
        </w:rPr>
        <w:t>D. Warfarin</w:t>
      </w:r>
    </w:p>
    <w:p w14:paraId="4086E16E" w14:textId="77777777" w:rsidR="0015458A" w:rsidRDefault="0015458A" w:rsidP="00A92638">
      <w:pPr>
        <w:spacing w:after="0" w:line="240" w:lineRule="auto"/>
        <w:rPr>
          <w:sz w:val="20"/>
          <w:szCs w:val="20"/>
        </w:rPr>
      </w:pPr>
    </w:p>
    <w:p w14:paraId="6CBCF0E9" w14:textId="77777777" w:rsidR="0015458A" w:rsidRDefault="0015458A" w:rsidP="00A92638">
      <w:pPr>
        <w:spacing w:after="0" w:line="240" w:lineRule="auto"/>
        <w:rPr>
          <w:sz w:val="20"/>
          <w:szCs w:val="20"/>
        </w:rPr>
      </w:pPr>
    </w:p>
    <w:p w14:paraId="0112F550" w14:textId="77777777" w:rsidR="00B81D90" w:rsidRDefault="00B81D90" w:rsidP="00A92638">
      <w:pPr>
        <w:spacing w:after="0" w:line="240" w:lineRule="auto"/>
        <w:rPr>
          <w:sz w:val="20"/>
          <w:szCs w:val="20"/>
        </w:rPr>
      </w:pPr>
    </w:p>
    <w:p w14:paraId="7F4B8564" w14:textId="77777777" w:rsidR="00B81D90" w:rsidRPr="00A92638" w:rsidRDefault="00B81D90" w:rsidP="00A92638">
      <w:pPr>
        <w:spacing w:after="0" w:line="240" w:lineRule="auto"/>
        <w:rPr>
          <w:sz w:val="20"/>
          <w:szCs w:val="20"/>
        </w:rPr>
      </w:pPr>
    </w:p>
    <w:sectPr w:rsidR="00B81D90" w:rsidRPr="00A92638" w:rsidSect="00A92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D8"/>
    <w:rsid w:val="00047796"/>
    <w:rsid w:val="0015458A"/>
    <w:rsid w:val="00294CD8"/>
    <w:rsid w:val="00371DD9"/>
    <w:rsid w:val="003748B3"/>
    <w:rsid w:val="004D48E2"/>
    <w:rsid w:val="005D0EBC"/>
    <w:rsid w:val="008176B5"/>
    <w:rsid w:val="008D4061"/>
    <w:rsid w:val="00A92638"/>
    <w:rsid w:val="00B6416E"/>
    <w:rsid w:val="00B81D90"/>
    <w:rsid w:val="00B96437"/>
    <w:rsid w:val="00CE7803"/>
    <w:rsid w:val="00DA0A66"/>
    <w:rsid w:val="00F16AF5"/>
    <w:rsid w:val="00FA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1AC60F"/>
  <w15:chartTrackingRefBased/>
  <w15:docId w15:val="{31489019-1E1E-5C4E-858E-9FAE7A65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C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C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C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C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C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C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C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CD8"/>
    <w:rPr>
      <w:rFonts w:eastAsiaTheme="majorEastAsia" w:cstheme="majorBidi"/>
      <w:color w:val="272727" w:themeColor="text1" w:themeTint="D8"/>
    </w:rPr>
  </w:style>
  <w:style w:type="paragraph" w:styleId="Title">
    <w:name w:val="Title"/>
    <w:basedOn w:val="Normal"/>
    <w:next w:val="Normal"/>
    <w:link w:val="TitleChar"/>
    <w:uiPriority w:val="10"/>
    <w:qFormat/>
    <w:rsid w:val="00294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C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CD8"/>
    <w:pPr>
      <w:spacing w:before="160"/>
      <w:jc w:val="center"/>
    </w:pPr>
    <w:rPr>
      <w:i/>
      <w:iCs/>
      <w:color w:val="404040" w:themeColor="text1" w:themeTint="BF"/>
    </w:rPr>
  </w:style>
  <w:style w:type="character" w:customStyle="1" w:styleId="QuoteChar">
    <w:name w:val="Quote Char"/>
    <w:basedOn w:val="DefaultParagraphFont"/>
    <w:link w:val="Quote"/>
    <w:uiPriority w:val="29"/>
    <w:rsid w:val="00294CD8"/>
    <w:rPr>
      <w:i/>
      <w:iCs/>
      <w:color w:val="404040" w:themeColor="text1" w:themeTint="BF"/>
    </w:rPr>
  </w:style>
  <w:style w:type="paragraph" w:styleId="ListParagraph">
    <w:name w:val="List Paragraph"/>
    <w:basedOn w:val="Normal"/>
    <w:uiPriority w:val="34"/>
    <w:qFormat/>
    <w:rsid w:val="00294CD8"/>
    <w:pPr>
      <w:ind w:left="720"/>
      <w:contextualSpacing/>
    </w:pPr>
  </w:style>
  <w:style w:type="character" w:styleId="IntenseEmphasis">
    <w:name w:val="Intense Emphasis"/>
    <w:basedOn w:val="DefaultParagraphFont"/>
    <w:uiPriority w:val="21"/>
    <w:qFormat/>
    <w:rsid w:val="00294CD8"/>
    <w:rPr>
      <w:i/>
      <w:iCs/>
      <w:color w:val="0F4761" w:themeColor="accent1" w:themeShade="BF"/>
    </w:rPr>
  </w:style>
  <w:style w:type="paragraph" w:styleId="IntenseQuote">
    <w:name w:val="Intense Quote"/>
    <w:basedOn w:val="Normal"/>
    <w:next w:val="Normal"/>
    <w:link w:val="IntenseQuoteChar"/>
    <w:uiPriority w:val="30"/>
    <w:qFormat/>
    <w:rsid w:val="00294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CD8"/>
    <w:rPr>
      <w:i/>
      <w:iCs/>
      <w:color w:val="0F4761" w:themeColor="accent1" w:themeShade="BF"/>
    </w:rPr>
  </w:style>
  <w:style w:type="character" w:styleId="IntenseReference">
    <w:name w:val="Intense Reference"/>
    <w:basedOn w:val="DefaultParagraphFont"/>
    <w:uiPriority w:val="32"/>
    <w:qFormat/>
    <w:rsid w:val="00294CD8"/>
    <w:rPr>
      <w:b/>
      <w:bCs/>
      <w:smallCaps/>
      <w:color w:val="0F4761" w:themeColor="accent1" w:themeShade="BF"/>
      <w:spacing w:val="5"/>
    </w:rPr>
  </w:style>
  <w:style w:type="character" w:styleId="LineNumber">
    <w:name w:val="line number"/>
    <w:basedOn w:val="DefaultParagraphFont"/>
    <w:uiPriority w:val="99"/>
    <w:semiHidden/>
    <w:unhideWhenUsed/>
    <w:rsid w:val="00A9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2025-08-27T18:25:00Z</dcterms:created>
  <dcterms:modified xsi:type="dcterms:W3CDTF">2025-08-27T18:25:00Z</dcterms:modified>
</cp:coreProperties>
</file>