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4E8" w:rsidRDefault="006D553F" w:rsidP="006D553F">
      <w:pPr>
        <w:jc w:val="center"/>
        <w:rPr>
          <w:b/>
          <w:u w:val="single"/>
        </w:rPr>
      </w:pPr>
      <w:r w:rsidRPr="006D553F">
        <w:rPr>
          <w:b/>
          <w:u w:val="single"/>
        </w:rPr>
        <w:t>August 20, 2019 AHD Objectives</w:t>
      </w:r>
    </w:p>
    <w:p w:rsidR="006D553F" w:rsidRPr="00094B89" w:rsidRDefault="006D553F" w:rsidP="006D553F">
      <w:pPr>
        <w:rPr>
          <w:b/>
          <w:sz w:val="24"/>
          <w:szCs w:val="24"/>
          <w:u w:val="single"/>
        </w:rPr>
      </w:pPr>
      <w:r w:rsidRPr="00094B89">
        <w:rPr>
          <w:b/>
          <w:sz w:val="24"/>
          <w:szCs w:val="24"/>
          <w:u w:val="single"/>
        </w:rPr>
        <w:t xml:space="preserve">Staphylococcus Aureus Blood Stream Infection </w:t>
      </w:r>
    </w:p>
    <w:p w:rsidR="006D553F" w:rsidRPr="00094B89" w:rsidRDefault="006D553F" w:rsidP="006D55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B89">
        <w:rPr>
          <w:sz w:val="24"/>
          <w:szCs w:val="24"/>
        </w:rPr>
        <w:t xml:space="preserve">Understand the seriousness of staphylococcus aureus bacteremia (SAB) and know the risk of metastatic infection, endocarditis, and 3-month mortality in patients who have SAB. </w:t>
      </w:r>
    </w:p>
    <w:p w:rsidR="006D553F" w:rsidRPr="00094B89" w:rsidRDefault="006D553F" w:rsidP="006D55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B89">
        <w:rPr>
          <w:sz w:val="24"/>
          <w:szCs w:val="24"/>
        </w:rPr>
        <w:t>Describe the appropriate clinical evaluation in a patient with Staphylococcus aureus bacteremia according to the IDSA guidelines.</w:t>
      </w:r>
    </w:p>
    <w:p w:rsidR="006D553F" w:rsidRPr="00094B89" w:rsidRDefault="006D553F" w:rsidP="006D55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B89">
        <w:rPr>
          <w:sz w:val="24"/>
          <w:szCs w:val="24"/>
        </w:rPr>
        <w:t>Compare/define uncomplicated bacteremia and complicated bacteremia and know the appropriate duration of</w:t>
      </w:r>
      <w:r w:rsidRPr="00094B89">
        <w:rPr>
          <w:b/>
          <w:i/>
          <w:sz w:val="24"/>
          <w:szCs w:val="24"/>
        </w:rPr>
        <w:t xml:space="preserve"> intravenous</w:t>
      </w:r>
      <w:r w:rsidRPr="00094B89">
        <w:rPr>
          <w:sz w:val="24"/>
          <w:szCs w:val="24"/>
        </w:rPr>
        <w:t xml:space="preserve"> antibiotic therapy for both. </w:t>
      </w:r>
    </w:p>
    <w:p w:rsidR="006D553F" w:rsidRPr="00094B89" w:rsidRDefault="006D553F" w:rsidP="006D553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94B89">
        <w:rPr>
          <w:sz w:val="24"/>
          <w:szCs w:val="24"/>
        </w:rPr>
        <w:t xml:space="preserve">Know the preferred therapy for methicillin-sensitive staphylococcus aureus (MSSA) bacteremia and the options for therapy for MRSA bacteremia. </w:t>
      </w:r>
      <w:r>
        <w:rPr>
          <w:sz w:val="24"/>
          <w:szCs w:val="24"/>
        </w:rPr>
        <w:t>Understand when vancomycin is not adequate for MRSA bacteremia based on the MIC of the organism.</w:t>
      </w:r>
    </w:p>
    <w:p w:rsidR="006D553F" w:rsidRDefault="006D553F" w:rsidP="006D553F">
      <w:pPr>
        <w:rPr>
          <w:b/>
          <w:sz w:val="24"/>
          <w:szCs w:val="24"/>
          <w:u w:val="single"/>
        </w:rPr>
      </w:pPr>
    </w:p>
    <w:p w:rsidR="006D553F" w:rsidRPr="006D553F" w:rsidRDefault="006D553F" w:rsidP="006D553F">
      <w:pPr>
        <w:rPr>
          <w:b/>
          <w:sz w:val="24"/>
          <w:szCs w:val="24"/>
          <w:u w:val="single"/>
        </w:rPr>
      </w:pPr>
      <w:r w:rsidRPr="006D553F">
        <w:rPr>
          <w:b/>
          <w:sz w:val="24"/>
          <w:szCs w:val="24"/>
          <w:u w:val="single"/>
        </w:rPr>
        <w:t>Urinary Tract Infections:</w:t>
      </w:r>
    </w:p>
    <w:p w:rsidR="006D553F" w:rsidRPr="006D553F" w:rsidRDefault="006D553F" w:rsidP="006D55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553F">
        <w:rPr>
          <w:sz w:val="24"/>
          <w:szCs w:val="24"/>
        </w:rPr>
        <w:t>Define acute</w:t>
      </w:r>
      <w:r>
        <w:rPr>
          <w:sz w:val="24"/>
          <w:szCs w:val="24"/>
        </w:rPr>
        <w:t xml:space="preserve"> </w:t>
      </w:r>
      <w:r w:rsidRPr="006D553F">
        <w:rPr>
          <w:sz w:val="24"/>
          <w:szCs w:val="24"/>
        </w:rPr>
        <w:t xml:space="preserve">uncomplicated cystitis and describe its clinical presentation.  Describe the treatment recommendations for acute, uncomplicated cystitis according to the 2010 IDSA guidelines including antibiotic options and duration of therapy.  </w:t>
      </w:r>
    </w:p>
    <w:p w:rsidR="006D553F" w:rsidRPr="006D553F" w:rsidRDefault="006D553F" w:rsidP="006D55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553F">
        <w:rPr>
          <w:sz w:val="24"/>
          <w:szCs w:val="24"/>
        </w:rPr>
        <w:t xml:space="preserve">Define acute pyelonephritis and its clinical presentation. Describe the treatment recommendations for acute pyelonephritis according to the 2010 IDSA guidelines including antibiotic options and duration of therapy.  </w:t>
      </w:r>
    </w:p>
    <w:p w:rsidR="006D553F" w:rsidRPr="006D553F" w:rsidRDefault="006D553F" w:rsidP="006D55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 the imaging test(s) to order in a patient</w:t>
      </w:r>
      <w:r w:rsidRPr="006D553F">
        <w:rPr>
          <w:sz w:val="24"/>
          <w:szCs w:val="24"/>
        </w:rPr>
        <w:t xml:space="preserve"> that presents with sepsis from urinary source</w:t>
      </w:r>
      <w:r>
        <w:rPr>
          <w:sz w:val="24"/>
          <w:szCs w:val="24"/>
        </w:rPr>
        <w:t>.</w:t>
      </w:r>
    </w:p>
    <w:p w:rsidR="006D553F" w:rsidRPr="006D553F" w:rsidRDefault="006D553F" w:rsidP="006D55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553F">
        <w:rPr>
          <w:sz w:val="24"/>
          <w:szCs w:val="24"/>
        </w:rPr>
        <w:t>Know the most important risk factor for development of catheter-associated-urinary tract infection.  Describe the evidence-based ways to decrease the incidence of CAUTI.</w:t>
      </w:r>
    </w:p>
    <w:p w:rsidR="006D553F" w:rsidRDefault="006D553F" w:rsidP="006D553F">
      <w:pPr>
        <w:rPr>
          <w:b/>
          <w:sz w:val="24"/>
          <w:szCs w:val="24"/>
          <w:u w:val="single"/>
        </w:rPr>
      </w:pPr>
    </w:p>
    <w:p w:rsidR="006D553F" w:rsidRPr="00094B89" w:rsidRDefault="006D553F" w:rsidP="006D553F">
      <w:pPr>
        <w:rPr>
          <w:b/>
          <w:sz w:val="24"/>
          <w:szCs w:val="24"/>
          <w:u w:val="single"/>
        </w:rPr>
      </w:pPr>
      <w:r w:rsidRPr="00094B89">
        <w:rPr>
          <w:b/>
          <w:sz w:val="24"/>
          <w:szCs w:val="24"/>
          <w:u w:val="single"/>
        </w:rPr>
        <w:t>HIV</w:t>
      </w:r>
    </w:p>
    <w:p w:rsidR="006D553F" w:rsidRDefault="006D553F" w:rsidP="006D55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B89">
        <w:rPr>
          <w:sz w:val="24"/>
          <w:szCs w:val="24"/>
        </w:rPr>
        <w:t>Describe the advantages for opt-out HIV screening according to the USPSTF and the CDC, and the recommendations according to these agencies for screening.</w:t>
      </w:r>
    </w:p>
    <w:p w:rsidR="006D553F" w:rsidRDefault="006D553F" w:rsidP="006D55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clinical syndrome of acute HIV infection.</w:t>
      </w:r>
      <w:bookmarkStart w:id="0" w:name="_GoBack"/>
      <w:bookmarkEnd w:id="0"/>
      <w:r w:rsidRPr="00094B89">
        <w:rPr>
          <w:sz w:val="24"/>
          <w:szCs w:val="24"/>
        </w:rPr>
        <w:t xml:space="preserve"> </w:t>
      </w:r>
    </w:p>
    <w:p w:rsidR="006D553F" w:rsidRPr="00094B89" w:rsidRDefault="006D553F" w:rsidP="006D55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B89">
        <w:rPr>
          <w:sz w:val="24"/>
          <w:szCs w:val="24"/>
        </w:rPr>
        <w:t>Describe the benefits to fourth-generation testing over third-generation testing and its potential downside.</w:t>
      </w:r>
    </w:p>
    <w:p w:rsidR="006D553F" w:rsidRPr="00094B89" w:rsidRDefault="006D553F" w:rsidP="006D55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B89">
        <w:rPr>
          <w:sz w:val="24"/>
          <w:szCs w:val="24"/>
        </w:rPr>
        <w:t xml:space="preserve">Describe the indications for combination antiretroviral therapy (CART). </w:t>
      </w:r>
    </w:p>
    <w:p w:rsidR="006D553F" w:rsidRPr="00094B89" w:rsidRDefault="006D553F" w:rsidP="006D55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B89">
        <w:rPr>
          <w:sz w:val="24"/>
          <w:szCs w:val="24"/>
        </w:rPr>
        <w:t xml:space="preserve">Define IRIS syndrome. </w:t>
      </w:r>
    </w:p>
    <w:p w:rsidR="006D553F" w:rsidRPr="00094B89" w:rsidRDefault="006D553F" w:rsidP="006D55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B89">
        <w:rPr>
          <w:sz w:val="24"/>
          <w:szCs w:val="24"/>
        </w:rPr>
        <w:t xml:space="preserve">Describe the recommendations for prophylaxis of certain opportunistic infections in patients with low CD4 counts/ clinical AIDS diagnoses. </w:t>
      </w:r>
    </w:p>
    <w:p w:rsidR="006D553F" w:rsidRPr="00094B89" w:rsidRDefault="006D553F" w:rsidP="006D553F">
      <w:pPr>
        <w:rPr>
          <w:b/>
          <w:sz w:val="24"/>
          <w:szCs w:val="24"/>
          <w:u w:val="single"/>
        </w:rPr>
      </w:pPr>
    </w:p>
    <w:p w:rsidR="006D553F" w:rsidRPr="00094B89" w:rsidRDefault="006D553F" w:rsidP="006D553F">
      <w:pPr>
        <w:rPr>
          <w:b/>
          <w:sz w:val="24"/>
          <w:szCs w:val="24"/>
          <w:u w:val="single"/>
        </w:rPr>
      </w:pPr>
    </w:p>
    <w:p w:rsidR="006D553F" w:rsidRPr="006D553F" w:rsidRDefault="006D553F" w:rsidP="006D553F">
      <w:pPr>
        <w:rPr>
          <w:b/>
          <w:u w:val="single"/>
        </w:rPr>
      </w:pPr>
    </w:p>
    <w:sectPr w:rsidR="006D553F" w:rsidRPr="006D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53F" w:rsidRDefault="006D553F" w:rsidP="006D553F">
      <w:pPr>
        <w:spacing w:after="0" w:line="240" w:lineRule="auto"/>
      </w:pPr>
      <w:r>
        <w:separator/>
      </w:r>
    </w:p>
  </w:endnote>
  <w:endnote w:type="continuationSeparator" w:id="0">
    <w:p w:rsidR="006D553F" w:rsidRDefault="006D553F" w:rsidP="006D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53F" w:rsidRDefault="006D553F" w:rsidP="006D553F">
      <w:pPr>
        <w:spacing w:after="0" w:line="240" w:lineRule="auto"/>
      </w:pPr>
      <w:r>
        <w:separator/>
      </w:r>
    </w:p>
  </w:footnote>
  <w:footnote w:type="continuationSeparator" w:id="0">
    <w:p w:rsidR="006D553F" w:rsidRDefault="006D553F" w:rsidP="006D5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B2B"/>
    <w:multiLevelType w:val="hybridMultilevel"/>
    <w:tmpl w:val="F3C2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6852"/>
    <w:multiLevelType w:val="hybridMultilevel"/>
    <w:tmpl w:val="D55A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12D5A"/>
    <w:multiLevelType w:val="hybridMultilevel"/>
    <w:tmpl w:val="6010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3F"/>
    <w:rsid w:val="006D553F"/>
    <w:rsid w:val="0086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254BC"/>
  <w15:chartTrackingRefBased/>
  <w15:docId w15:val="{1B774C19-D6E0-47EB-8EF6-D8C50C16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Shinar, Brenda</cp:lastModifiedBy>
  <cp:revision>2</cp:revision>
  <dcterms:created xsi:type="dcterms:W3CDTF">2019-08-15T19:24:00Z</dcterms:created>
  <dcterms:modified xsi:type="dcterms:W3CDTF">2019-08-15T19:24:00Z</dcterms:modified>
</cp:coreProperties>
</file>