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E5730" w14:textId="5974EEF9" w:rsidR="00BD40FB" w:rsidRPr="00531453" w:rsidRDefault="00BD40FB" w:rsidP="00BD40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3145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September 10, 2019 </w:t>
      </w:r>
    </w:p>
    <w:p w14:paraId="7600BD71" w14:textId="77777777" w:rsidR="00531453" w:rsidRPr="007A3557" w:rsidRDefault="00531453" w:rsidP="00BD40FB">
      <w:pPr>
        <w:spacing w:after="0" w:line="240" w:lineRule="auto"/>
        <w:rPr>
          <w:rFonts w:ascii="Arial" w:eastAsia="Times New Roman" w:hAnsi="Arial" w:cs="Arial"/>
          <w:color w:val="F4F4F4"/>
          <w:sz w:val="20"/>
          <w:szCs w:val="20"/>
        </w:rPr>
      </w:pPr>
    </w:p>
    <w:p w14:paraId="5853AE25" w14:textId="44A7B934" w:rsidR="00BD40FB" w:rsidRDefault="00BD40FB" w:rsidP="00BD40FB">
      <w:pPr>
        <w:spacing w:after="0" w:line="240" w:lineRule="auto"/>
        <w:rPr>
          <w:rFonts w:ascii="Arial" w:eastAsia="Times New Roman" w:hAnsi="Arial" w:cs="Arial"/>
          <w:color w:val="F4F4F4"/>
          <w:sz w:val="20"/>
          <w:szCs w:val="20"/>
        </w:rPr>
      </w:pPr>
      <w:r w:rsidRPr="007A3557">
        <w:rPr>
          <w:rFonts w:ascii="Arial" w:eastAsia="Times New Roman" w:hAnsi="Arial" w:cs="Arial"/>
          <w:color w:val="000000"/>
          <w:sz w:val="20"/>
          <w:szCs w:val="20"/>
        </w:rPr>
        <w:t xml:space="preserve">9:40 - 10:25 – </w:t>
      </w:r>
      <w:r>
        <w:rPr>
          <w:rFonts w:ascii="Arial" w:eastAsia="Times New Roman" w:hAnsi="Arial" w:cs="Arial"/>
          <w:color w:val="000000"/>
          <w:sz w:val="20"/>
          <w:szCs w:val="20"/>
        </w:rPr>
        <w:t>Dr. Gomez, Sickle cell disease</w:t>
      </w:r>
    </w:p>
    <w:p w14:paraId="43A1D3FA" w14:textId="77777777" w:rsidR="00BD40FB" w:rsidRPr="00DA0AC7" w:rsidRDefault="00BD40FB" w:rsidP="00BD40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Objectives:</w:t>
      </w:r>
    </w:p>
    <w:p w14:paraId="324DFC02" w14:textId="77777777" w:rsidR="00BD40FB" w:rsidRPr="00DA0AC7" w:rsidRDefault="00BD40FB" w:rsidP="00BD40F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A0AC7">
        <w:rPr>
          <w:rFonts w:ascii="Arial" w:hAnsi="Arial" w:cs="Arial"/>
          <w:sz w:val="20"/>
          <w:szCs w:val="20"/>
        </w:rPr>
        <w:t>Define criteria for diagnosing acute chest syndrome and describe its treatment.</w:t>
      </w:r>
    </w:p>
    <w:p w14:paraId="74C99890" w14:textId="77777777" w:rsidR="00BD40FB" w:rsidRDefault="00BD40FB" w:rsidP="00BD40F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Define the indications for transfusion in patients with sickle cell disease and explain the complications and treatments of transfusion common to patients with sickle cell disease</w:t>
      </w:r>
    </w:p>
    <w:p w14:paraId="74EEC339" w14:textId="77777777" w:rsidR="00BD40FB" w:rsidRPr="00DA0AC7" w:rsidRDefault="00BD40FB" w:rsidP="00BD40F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the complications associated with sickle cell disease by organ system.</w:t>
      </w:r>
    </w:p>
    <w:p w14:paraId="06C445BD" w14:textId="77777777" w:rsidR="00BD40FB" w:rsidRPr="00DA0AC7" w:rsidRDefault="00BD40FB" w:rsidP="00BD40F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treatment of sickle cell disease pain crisis including optimal medication route and dosing, fluids, home medications, etc. </w:t>
      </w:r>
    </w:p>
    <w:p w14:paraId="1D4C95E3" w14:textId="7086F0E7" w:rsidR="00BD40FB" w:rsidRDefault="00BD40FB" w:rsidP="00BD40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A3557">
        <w:rPr>
          <w:rFonts w:ascii="Arial" w:eastAsia="Times New Roman" w:hAnsi="Arial" w:cs="Arial"/>
          <w:color w:val="000000"/>
          <w:sz w:val="20"/>
          <w:szCs w:val="20"/>
        </w:rPr>
        <w:t xml:space="preserve">10:25 – 11:10 –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Dr. </w:t>
      </w:r>
      <w:r w:rsidRPr="007A3557">
        <w:rPr>
          <w:rFonts w:ascii="Arial" w:eastAsia="Times New Roman" w:hAnsi="Arial" w:cs="Arial"/>
          <w:color w:val="000000"/>
          <w:sz w:val="20"/>
          <w:szCs w:val="20"/>
        </w:rPr>
        <w:t>Abbas, M</w:t>
      </w:r>
      <w:r>
        <w:rPr>
          <w:rFonts w:ascii="Arial" w:eastAsia="Times New Roman" w:hAnsi="Arial" w:cs="Arial"/>
          <w:color w:val="000000"/>
          <w:sz w:val="20"/>
          <w:szCs w:val="20"/>
        </w:rPr>
        <w:t>ultiple myeloma</w:t>
      </w:r>
    </w:p>
    <w:p w14:paraId="2331B15A" w14:textId="648A4389" w:rsidR="00023BA6" w:rsidRDefault="00BD40FB" w:rsidP="00023BA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Objectives:</w:t>
      </w:r>
    </w:p>
    <w:p w14:paraId="274DC9D8" w14:textId="04695DF5" w:rsidR="00023BA6" w:rsidRPr="00023BA6" w:rsidRDefault="00023BA6" w:rsidP="00023BA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List the 6 plasma cell disorders related to multiple myeloma</w:t>
      </w:r>
    </w:p>
    <w:p w14:paraId="0BC21E70" w14:textId="16543C6A" w:rsidR="00BD40FB" w:rsidRPr="00DA0AC7" w:rsidRDefault="00BD40FB" w:rsidP="00BD40F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A0AC7">
        <w:rPr>
          <w:rFonts w:ascii="Arial" w:hAnsi="Arial" w:cs="Arial"/>
          <w:sz w:val="20"/>
          <w:szCs w:val="20"/>
        </w:rPr>
        <w:t>Describe the clinical symptoms and laboratory findings that should prompt a diagnostic evaluation for myeloma.</w:t>
      </w:r>
      <w:r w:rsidR="00023BA6">
        <w:rPr>
          <w:rFonts w:ascii="Arial" w:hAnsi="Arial" w:cs="Arial"/>
          <w:sz w:val="20"/>
          <w:szCs w:val="20"/>
        </w:rPr>
        <w:t xml:space="preserve"> What percentage of patients with multiple myeloma have each of these?</w:t>
      </w:r>
    </w:p>
    <w:p w14:paraId="7230D49B" w14:textId="1DD0B1F5" w:rsidR="00EF5963" w:rsidRDefault="00023BA6" w:rsidP="00EF596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the </w:t>
      </w:r>
      <w:r w:rsidR="00EF5963">
        <w:rPr>
          <w:rFonts w:ascii="Arial" w:hAnsi="Arial" w:cs="Arial"/>
          <w:sz w:val="20"/>
          <w:szCs w:val="20"/>
        </w:rPr>
        <w:t>diagnostic tests required to establish the diagnosis of multiple myeloma.</w:t>
      </w:r>
    </w:p>
    <w:p w14:paraId="6A47BD06" w14:textId="47671329" w:rsidR="00EF5963" w:rsidRPr="00EF5963" w:rsidRDefault="00EF5963" w:rsidP="00EF596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a table differentiating between MGUS, smoldering myeloma, multiple myeloma, and plasmacytoma. </w:t>
      </w:r>
    </w:p>
    <w:p w14:paraId="41C9820D" w14:textId="77777777" w:rsidR="00BD40FB" w:rsidRPr="00DA0AC7" w:rsidRDefault="00BD40FB" w:rsidP="00BD40F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A0AC7">
        <w:rPr>
          <w:rFonts w:ascii="Arial" w:hAnsi="Arial" w:cs="Arial"/>
          <w:sz w:val="20"/>
          <w:szCs w:val="20"/>
        </w:rPr>
        <w:t>Discuss the treatment options for myeloma patients who are &lt;65 years old and in otherwise good health as well as for elderly patients who have significant comorbidities.</w:t>
      </w:r>
    </w:p>
    <w:p w14:paraId="6A8F0F40" w14:textId="77777777" w:rsidR="00BD40FB" w:rsidRPr="00DA0AC7" w:rsidRDefault="00BD40FB" w:rsidP="00BD40F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A0AC7">
        <w:rPr>
          <w:rFonts w:ascii="Arial" w:hAnsi="Arial" w:cs="Arial"/>
          <w:sz w:val="20"/>
          <w:szCs w:val="20"/>
        </w:rPr>
        <w:t>Describe the side effects of the chemotherapy agents used in myeloma therapy.</w:t>
      </w:r>
    </w:p>
    <w:p w14:paraId="03D4C176" w14:textId="77777777" w:rsidR="00BD40FB" w:rsidRPr="007A3557" w:rsidRDefault="00BD40FB" w:rsidP="00BD40FB">
      <w:pPr>
        <w:spacing w:after="0" w:line="240" w:lineRule="auto"/>
        <w:rPr>
          <w:rFonts w:ascii="Arial" w:eastAsia="Times New Roman" w:hAnsi="Arial" w:cs="Arial"/>
          <w:color w:val="F4F4F4"/>
          <w:sz w:val="20"/>
          <w:szCs w:val="20"/>
        </w:rPr>
      </w:pPr>
    </w:p>
    <w:p w14:paraId="3DDE1AD4" w14:textId="77777777" w:rsidR="00BD40FB" w:rsidRPr="007A3557" w:rsidRDefault="00BD40FB" w:rsidP="00BD40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A3557">
        <w:rPr>
          <w:rFonts w:ascii="Arial" w:eastAsia="Times New Roman" w:hAnsi="Arial" w:cs="Arial"/>
          <w:color w:val="000000"/>
          <w:sz w:val="20"/>
          <w:szCs w:val="20"/>
        </w:rPr>
        <w:t>11:30 – 12:15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– Dr. </w:t>
      </w:r>
      <w:r w:rsidRPr="007A3557">
        <w:rPr>
          <w:rFonts w:ascii="Arial" w:eastAsia="Times New Roman" w:hAnsi="Arial" w:cs="Arial"/>
          <w:color w:val="000000"/>
          <w:sz w:val="20"/>
          <w:szCs w:val="20"/>
        </w:rPr>
        <w:t xml:space="preserve">Abbas, </w:t>
      </w:r>
      <w:r>
        <w:rPr>
          <w:rFonts w:ascii="Arial" w:eastAsia="Times New Roman" w:hAnsi="Arial" w:cs="Arial"/>
          <w:sz w:val="20"/>
          <w:szCs w:val="20"/>
        </w:rPr>
        <w:t>Thrombocytopenia</w:t>
      </w:r>
    </w:p>
    <w:p w14:paraId="66FACF28" w14:textId="77777777" w:rsidR="00BD40FB" w:rsidRPr="00DA0AC7" w:rsidRDefault="00BD40FB" w:rsidP="00BD40FB">
      <w:pPr>
        <w:pStyle w:val="Default"/>
        <w:ind w:firstLine="360"/>
        <w:rPr>
          <w:rFonts w:ascii="Arial" w:hAnsi="Arial" w:cs="Arial"/>
          <w:sz w:val="20"/>
          <w:szCs w:val="20"/>
        </w:rPr>
      </w:pPr>
      <w:r w:rsidRPr="00DA0AC7">
        <w:rPr>
          <w:rFonts w:ascii="Arial" w:hAnsi="Arial" w:cs="Arial"/>
          <w:bCs/>
          <w:sz w:val="20"/>
          <w:szCs w:val="20"/>
        </w:rPr>
        <w:t>Objectives</w:t>
      </w:r>
      <w:r>
        <w:rPr>
          <w:rFonts w:ascii="Arial" w:hAnsi="Arial" w:cs="Arial"/>
          <w:bCs/>
          <w:sz w:val="20"/>
          <w:szCs w:val="20"/>
        </w:rPr>
        <w:t>:</w:t>
      </w:r>
    </w:p>
    <w:p w14:paraId="37FEBC6E" w14:textId="27C73B73" w:rsidR="00BD40FB" w:rsidRPr="00DA0AC7" w:rsidRDefault="00EF5963" w:rsidP="00BD40FB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Categorize</w:t>
      </w:r>
      <w:r w:rsidR="00BD40FB" w:rsidRPr="00DA0AC7">
        <w:rPr>
          <w:rFonts w:ascii="Arial" w:hAnsi="Arial" w:cs="Arial"/>
          <w:sz w:val="20"/>
          <w:szCs w:val="20"/>
        </w:rPr>
        <w:t xml:space="preserve"> diseases that cause thrombocytopenia in the following three categories: decreased production, increased sequestration, and increased destruction.</w:t>
      </w:r>
    </w:p>
    <w:p w14:paraId="428F8E3E" w14:textId="1AC4C5EC" w:rsidR="00BD40FB" w:rsidRPr="00DA0AC7" w:rsidRDefault="008C4BD8" w:rsidP="00BD40FB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first test to order in work up of a patient with thrombocytopenia?</w:t>
      </w:r>
    </w:p>
    <w:p w14:paraId="1850C8E7" w14:textId="77777777" w:rsidR="00BD40FB" w:rsidRPr="00DA0AC7" w:rsidRDefault="00BD40FB" w:rsidP="00BD40FB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A0AC7">
        <w:rPr>
          <w:rFonts w:ascii="Arial" w:hAnsi="Arial" w:cs="Arial"/>
          <w:sz w:val="20"/>
          <w:szCs w:val="20"/>
        </w:rPr>
        <w:t>Define factitious thrombocytopenia and understand how to diagnosis it and its significance.</w:t>
      </w:r>
    </w:p>
    <w:p w14:paraId="5A5B0BA5" w14:textId="0084BDAB" w:rsidR="00BD40FB" w:rsidRDefault="00BD40FB" w:rsidP="00BD40FB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A0AC7">
        <w:rPr>
          <w:rFonts w:ascii="Arial" w:hAnsi="Arial" w:cs="Arial"/>
          <w:sz w:val="20"/>
          <w:szCs w:val="20"/>
        </w:rPr>
        <w:t>Make a table and distinguish between the 4 causes of emergent thrombocytopenia in terms of clinical presentation, laboratory evaluation, and management. (ITP, HIT, TTP, and HELLP syndrome).</w:t>
      </w:r>
    </w:p>
    <w:p w14:paraId="7F6D0AC1" w14:textId="570AF7F5" w:rsidR="008C4BD8" w:rsidRPr="008C4BD8" w:rsidRDefault="008C4BD8" w:rsidP="00BD40FB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the platelet counts at which you transfuse platelets in the following situations: bleeding patient, prior to minor procedure, prior to general surgery, prior to neurologic surgery, all patients.</w:t>
      </w:r>
    </w:p>
    <w:p w14:paraId="38531935" w14:textId="77777777" w:rsidR="00BD40FB" w:rsidRDefault="00BD40FB" w:rsidP="00BD40F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BD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5BB7"/>
    <w:multiLevelType w:val="hybridMultilevel"/>
    <w:tmpl w:val="AAB21AA2"/>
    <w:lvl w:ilvl="0" w:tplc="19B22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F299D"/>
    <w:multiLevelType w:val="hybridMultilevel"/>
    <w:tmpl w:val="5EC04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42A0"/>
    <w:multiLevelType w:val="hybridMultilevel"/>
    <w:tmpl w:val="7B223000"/>
    <w:lvl w:ilvl="0" w:tplc="D9DC82A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170CFC"/>
    <w:multiLevelType w:val="hybridMultilevel"/>
    <w:tmpl w:val="BE12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7D87"/>
    <w:multiLevelType w:val="hybridMultilevel"/>
    <w:tmpl w:val="C7B88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124"/>
    <w:multiLevelType w:val="hybridMultilevel"/>
    <w:tmpl w:val="E106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B3B31"/>
    <w:multiLevelType w:val="hybridMultilevel"/>
    <w:tmpl w:val="A9746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6BC1"/>
    <w:multiLevelType w:val="hybridMultilevel"/>
    <w:tmpl w:val="A1166604"/>
    <w:lvl w:ilvl="0" w:tplc="AB487A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80119"/>
    <w:multiLevelType w:val="hybridMultilevel"/>
    <w:tmpl w:val="E3D60DA8"/>
    <w:lvl w:ilvl="0" w:tplc="7D76B4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3BE543A"/>
    <w:multiLevelType w:val="hybridMultilevel"/>
    <w:tmpl w:val="8BC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50832"/>
    <w:multiLevelType w:val="hybridMultilevel"/>
    <w:tmpl w:val="51A0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A459A"/>
    <w:multiLevelType w:val="hybridMultilevel"/>
    <w:tmpl w:val="D46A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873DC"/>
    <w:multiLevelType w:val="hybridMultilevel"/>
    <w:tmpl w:val="4D52D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22"/>
    <w:rsid w:val="00023BA6"/>
    <w:rsid w:val="00066EE2"/>
    <w:rsid w:val="001E0D46"/>
    <w:rsid w:val="00262BFB"/>
    <w:rsid w:val="003033DD"/>
    <w:rsid w:val="0049133B"/>
    <w:rsid w:val="00504C98"/>
    <w:rsid w:val="00531453"/>
    <w:rsid w:val="00536C3C"/>
    <w:rsid w:val="00645FE2"/>
    <w:rsid w:val="00676836"/>
    <w:rsid w:val="006A479A"/>
    <w:rsid w:val="006B2D9A"/>
    <w:rsid w:val="006D6CAD"/>
    <w:rsid w:val="006E2D22"/>
    <w:rsid w:val="006F78D4"/>
    <w:rsid w:val="008C4BD8"/>
    <w:rsid w:val="008E405E"/>
    <w:rsid w:val="008F58BD"/>
    <w:rsid w:val="00912795"/>
    <w:rsid w:val="00A4412D"/>
    <w:rsid w:val="00BD40FB"/>
    <w:rsid w:val="00C46E77"/>
    <w:rsid w:val="00DA0AC7"/>
    <w:rsid w:val="00E97508"/>
    <w:rsid w:val="00EC3F5C"/>
    <w:rsid w:val="00EF5963"/>
    <w:rsid w:val="00F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48AE"/>
  <w15:chartTrackingRefBased/>
  <w15:docId w15:val="{ED487869-0549-4F69-8F7B-D050D521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C3C"/>
    <w:pPr>
      <w:ind w:left="720"/>
      <w:contextualSpacing/>
    </w:pPr>
  </w:style>
  <w:style w:type="paragraph" w:customStyle="1" w:styleId="Default">
    <w:name w:val="Default"/>
    <w:rsid w:val="008E4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Dodaro</dc:creator>
  <cp:keywords/>
  <dc:description/>
  <cp:lastModifiedBy>Greg Dodaro</cp:lastModifiedBy>
  <cp:revision>2</cp:revision>
  <dcterms:created xsi:type="dcterms:W3CDTF">2019-08-29T22:33:00Z</dcterms:created>
  <dcterms:modified xsi:type="dcterms:W3CDTF">2019-08-29T22:33:00Z</dcterms:modified>
</cp:coreProperties>
</file>