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A" w:rsidRDefault="00E8419A">
      <w:bookmarkStart w:id="0" w:name="_GoBack"/>
      <w:bookmarkEnd w:id="0"/>
    </w:p>
    <w:p w:rsidR="002B2040" w:rsidRDefault="002B2040">
      <w:pPr>
        <w:rPr>
          <w:rFonts w:ascii="Arial" w:hAnsi="Arial" w:cs="Arial"/>
          <w:b/>
          <w:sz w:val="28"/>
          <w:szCs w:val="28"/>
        </w:rPr>
      </w:pPr>
      <w:r w:rsidRPr="002B2040">
        <w:rPr>
          <w:rFonts w:ascii="Arial" w:hAnsi="Arial" w:cs="Arial"/>
          <w:b/>
          <w:sz w:val="28"/>
          <w:szCs w:val="28"/>
        </w:rPr>
        <w:t>Risks</w:t>
      </w:r>
    </w:p>
    <w:p w:rsidR="002B2040" w:rsidRDefault="002B2040">
      <w:pPr>
        <w:rPr>
          <w:rFonts w:ascii="Arial" w:hAnsi="Arial" w:cs="Arial"/>
          <w:b/>
          <w:sz w:val="28"/>
          <w:szCs w:val="28"/>
        </w:rPr>
      </w:pPr>
    </w:p>
    <w:p w:rsidR="002B2040" w:rsidRPr="002B2040" w:rsidRDefault="002B2040">
      <w:pPr>
        <w:rPr>
          <w:rFonts w:ascii="Arial" w:hAnsi="Arial" w:cs="Arial"/>
          <w:sz w:val="24"/>
          <w:szCs w:val="24"/>
        </w:rPr>
      </w:pPr>
      <w:r w:rsidRPr="002B2040">
        <w:rPr>
          <w:rFonts w:ascii="Arial" w:hAnsi="Arial" w:cs="Arial"/>
          <w:sz w:val="24"/>
          <w:szCs w:val="24"/>
        </w:rPr>
        <w:t>As we have seen,</w:t>
      </w:r>
      <w:r w:rsidR="00501649">
        <w:rPr>
          <w:rFonts w:ascii="Arial" w:hAnsi="Arial" w:cs="Arial"/>
          <w:sz w:val="24"/>
          <w:szCs w:val="24"/>
        </w:rPr>
        <w:t xml:space="preserve"> r</w:t>
      </w:r>
      <w:r w:rsidRPr="002B2040">
        <w:rPr>
          <w:rFonts w:ascii="Arial" w:hAnsi="Arial" w:cs="Arial"/>
          <w:sz w:val="24"/>
          <w:szCs w:val="24"/>
        </w:rPr>
        <w:t>elative risks can be calculated in cohort studies (and in RCTs). To calculate relative risk, it is useful to define the absolute risk (AR) in each group.</w:t>
      </w:r>
    </w:p>
    <w:p w:rsidR="002B2040" w:rsidRDefault="002B2040">
      <w:pPr>
        <w:rPr>
          <w:rFonts w:ascii="Arial" w:hAnsi="Arial" w:cs="Arial"/>
          <w:sz w:val="24"/>
          <w:szCs w:val="24"/>
        </w:rPr>
      </w:pPr>
      <w:r w:rsidRPr="002B2040">
        <w:rPr>
          <w:rFonts w:ascii="Arial" w:hAnsi="Arial" w:cs="Arial"/>
          <w:sz w:val="24"/>
          <w:szCs w:val="24"/>
        </w:rPr>
        <w:t>The absolute risk</w:t>
      </w:r>
      <w:r w:rsidR="00E76973">
        <w:rPr>
          <w:rFonts w:ascii="Arial" w:hAnsi="Arial" w:cs="Arial"/>
          <w:sz w:val="24"/>
          <w:szCs w:val="24"/>
        </w:rPr>
        <w:t xml:space="preserve"> in the exposed group (ARe) is 3</w:t>
      </w:r>
      <w:r w:rsidRPr="002B2040">
        <w:rPr>
          <w:rFonts w:ascii="Arial" w:hAnsi="Arial" w:cs="Arial"/>
          <w:sz w:val="24"/>
          <w:szCs w:val="24"/>
        </w:rPr>
        <w:t xml:space="preserve">0/100.  The absolute risk in the unexposed (ARu) is 10/100. </w:t>
      </w:r>
    </w:p>
    <w:p w:rsidR="00501649" w:rsidRPr="002B2040" w:rsidRDefault="005016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350"/>
        <w:gridCol w:w="990"/>
      </w:tblGrid>
      <w:tr w:rsidR="002B2040" w:rsidTr="007C2278">
        <w:tc>
          <w:tcPr>
            <w:tcW w:w="1435" w:type="dxa"/>
          </w:tcPr>
          <w:p w:rsidR="002B2040" w:rsidRDefault="002B2040" w:rsidP="007C227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+</w:t>
            </w:r>
          </w:p>
        </w:tc>
        <w:tc>
          <w:tcPr>
            <w:tcW w:w="135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 –</w:t>
            </w:r>
          </w:p>
        </w:tc>
        <w:tc>
          <w:tcPr>
            <w:tcW w:w="99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2B2040" w:rsidTr="007C2278">
        <w:tc>
          <w:tcPr>
            <w:tcW w:w="1435" w:type="dxa"/>
          </w:tcPr>
          <w:p w:rsidR="002B2040" w:rsidRDefault="002B2040" w:rsidP="007C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Exposed</w:t>
            </w:r>
          </w:p>
        </w:tc>
        <w:tc>
          <w:tcPr>
            <w:tcW w:w="1440" w:type="dxa"/>
          </w:tcPr>
          <w:p w:rsidR="002B2040" w:rsidRDefault="00501649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B2040">
              <w:rPr>
                <w:rFonts w:ascii="Arial" w:hAnsi="Arial" w:cs="Arial"/>
              </w:rPr>
              <w:t>0</w:t>
            </w:r>
          </w:p>
        </w:tc>
        <w:tc>
          <w:tcPr>
            <w:tcW w:w="1350" w:type="dxa"/>
          </w:tcPr>
          <w:p w:rsidR="002B2040" w:rsidRDefault="00501649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B2040">
              <w:rPr>
                <w:rFonts w:ascii="Arial" w:hAnsi="Arial" w:cs="Arial"/>
              </w:rPr>
              <w:t>0</w:t>
            </w:r>
          </w:p>
        </w:tc>
        <w:tc>
          <w:tcPr>
            <w:tcW w:w="99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2B2040" w:rsidTr="007C2278">
        <w:tc>
          <w:tcPr>
            <w:tcW w:w="1435" w:type="dxa"/>
          </w:tcPr>
          <w:p w:rsidR="002B2040" w:rsidRDefault="002B2040" w:rsidP="007C2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Unexposed</w:t>
            </w:r>
          </w:p>
        </w:tc>
        <w:tc>
          <w:tcPr>
            <w:tcW w:w="144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5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990" w:type="dxa"/>
          </w:tcPr>
          <w:p w:rsidR="002B2040" w:rsidRDefault="002B2040" w:rsidP="007C22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2B2040" w:rsidRDefault="002B2040">
      <w:pPr>
        <w:rPr>
          <w:rFonts w:ascii="Arial" w:hAnsi="Arial" w:cs="Arial"/>
          <w:sz w:val="24"/>
          <w:szCs w:val="24"/>
        </w:rPr>
      </w:pPr>
    </w:p>
    <w:p w:rsidR="002B2040" w:rsidRDefault="002B2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relative risk is then ARe/</w:t>
      </w:r>
      <w:r w:rsidR="00501649">
        <w:rPr>
          <w:rFonts w:ascii="Arial" w:hAnsi="Arial" w:cs="Arial"/>
          <w:sz w:val="24"/>
          <w:szCs w:val="24"/>
        </w:rPr>
        <w:t>ARu = 3</w:t>
      </w:r>
      <w:r>
        <w:rPr>
          <w:rFonts w:ascii="Arial" w:hAnsi="Arial" w:cs="Arial"/>
          <w:sz w:val="24"/>
          <w:szCs w:val="24"/>
        </w:rPr>
        <w:t>.0.   The absolute risks can also be compared by subtracting on</w:t>
      </w:r>
      <w:r w:rsidR="005016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from the other.  The absolute risk reduction</w:t>
      </w:r>
      <w:r w:rsidR="00501649">
        <w:rPr>
          <w:rFonts w:ascii="Arial" w:hAnsi="Arial" w:cs="Arial"/>
          <w:sz w:val="24"/>
          <w:szCs w:val="24"/>
        </w:rPr>
        <w:t xml:space="preserve"> (ARR)</w:t>
      </w:r>
      <w:r>
        <w:rPr>
          <w:rFonts w:ascii="Arial" w:hAnsi="Arial" w:cs="Arial"/>
          <w:sz w:val="24"/>
          <w:szCs w:val="24"/>
        </w:rPr>
        <w:t xml:space="preserve"> is ARe - ARu = </w:t>
      </w:r>
      <w:r w:rsidR="00501649">
        <w:rPr>
          <w:rFonts w:ascii="Arial" w:hAnsi="Arial" w:cs="Arial"/>
          <w:sz w:val="24"/>
          <w:szCs w:val="24"/>
        </w:rPr>
        <w:t>20/100 = 0.2</w:t>
      </w:r>
      <w:r w:rsidR="00E76973">
        <w:rPr>
          <w:rFonts w:ascii="Arial" w:hAnsi="Arial" w:cs="Arial"/>
          <w:sz w:val="24"/>
          <w:szCs w:val="24"/>
        </w:rPr>
        <w:t>0 or 20%.</w:t>
      </w:r>
    </w:p>
    <w:p w:rsidR="002B2040" w:rsidRDefault="002B20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number can be compared to the ARe to determine proportionately how much the risk was reduced.  The relative risk reduction (RRR) = </w:t>
      </w:r>
      <w:r w:rsidR="00501649">
        <w:rPr>
          <w:rFonts w:ascii="Arial" w:hAnsi="Arial" w:cs="Arial"/>
          <w:sz w:val="24"/>
          <w:szCs w:val="24"/>
        </w:rPr>
        <w:t>ARR/ARe = .20/.30 = 0.67 or 67</w:t>
      </w:r>
      <w:r>
        <w:rPr>
          <w:rFonts w:ascii="Arial" w:hAnsi="Arial" w:cs="Arial"/>
          <w:sz w:val="24"/>
          <w:szCs w:val="24"/>
        </w:rPr>
        <w:t xml:space="preserve">%.  </w:t>
      </w:r>
      <w:r w:rsidR="00501649">
        <w:rPr>
          <w:rFonts w:ascii="Arial" w:hAnsi="Arial" w:cs="Arial"/>
          <w:sz w:val="24"/>
          <w:szCs w:val="24"/>
        </w:rPr>
        <w:t>The risk in the unexposed group was reduced by 2/3.</w:t>
      </w:r>
    </w:p>
    <w:p w:rsidR="002B2040" w:rsidRPr="002B2040" w:rsidRDefault="002B2040">
      <w:pPr>
        <w:rPr>
          <w:rFonts w:ascii="Arial" w:hAnsi="Arial" w:cs="Arial"/>
          <w:sz w:val="24"/>
          <w:szCs w:val="24"/>
        </w:rPr>
      </w:pPr>
    </w:p>
    <w:p w:rsidR="002B2040" w:rsidRDefault="002B2040"/>
    <w:p w:rsidR="002B2040" w:rsidRDefault="002B2040"/>
    <w:sectPr w:rsidR="002B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40"/>
    <w:rsid w:val="002B2040"/>
    <w:rsid w:val="00391F91"/>
    <w:rsid w:val="00501649"/>
    <w:rsid w:val="00E76973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C2558-3773-448D-AD27-3955BE87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Gerkin, Richard</dc:creator>
  <cp:keywords/>
  <dc:description/>
  <cp:lastModifiedBy>BUMCP IntMed Chief</cp:lastModifiedBy>
  <cp:revision>2</cp:revision>
  <dcterms:created xsi:type="dcterms:W3CDTF">2017-08-14T19:25:00Z</dcterms:created>
  <dcterms:modified xsi:type="dcterms:W3CDTF">2017-08-14T19:25:00Z</dcterms:modified>
</cp:coreProperties>
</file>