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4EF2E" w14:textId="65112BE0" w:rsidR="0064081E" w:rsidRPr="003B1AED" w:rsidRDefault="0064081E" w:rsidP="0064081E">
      <w:pPr>
        <w:spacing w:after="0" w:line="220" w:lineRule="atLeast"/>
        <w:rPr>
          <w:rFonts w:ascii="Arial" w:eastAsia="Times New Roman" w:hAnsi="Arial" w:cs="Arial"/>
          <w:b/>
          <w:color w:val="000000"/>
          <w:sz w:val="21"/>
          <w:szCs w:val="21"/>
        </w:rPr>
      </w:pPr>
      <w:r w:rsidRPr="003B1AED">
        <w:rPr>
          <w:rFonts w:ascii="Arial" w:eastAsia="Times New Roman" w:hAnsi="Arial" w:cs="Arial"/>
          <w:b/>
          <w:color w:val="000000"/>
          <w:sz w:val="21"/>
          <w:szCs w:val="21"/>
        </w:rPr>
        <w:t>November 6, 2018 AHD Objectives</w:t>
      </w:r>
    </w:p>
    <w:p w14:paraId="7DD97172" w14:textId="77777777" w:rsidR="0064081E" w:rsidRDefault="0064081E" w:rsidP="0064081E">
      <w:pPr>
        <w:spacing w:after="0" w:line="220" w:lineRule="atLeast"/>
        <w:rPr>
          <w:rFonts w:ascii="Arial" w:eastAsia="Times New Roman" w:hAnsi="Arial" w:cs="Arial"/>
          <w:color w:val="000000"/>
          <w:sz w:val="19"/>
          <w:szCs w:val="19"/>
        </w:rPr>
      </w:pPr>
    </w:p>
    <w:p w14:paraId="14B86951" w14:textId="3AA255DD" w:rsidR="0064081E" w:rsidRDefault="0064081E" w:rsidP="0064081E">
      <w:pPr>
        <w:spacing w:after="0" w:line="220" w:lineRule="atLeast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>NASH/ASH:</w:t>
      </w:r>
      <w:r w:rsidR="00551879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</w:p>
    <w:p w14:paraId="77878BFD" w14:textId="26125303" w:rsidR="00551879" w:rsidRDefault="00551879" w:rsidP="0064081E">
      <w:pPr>
        <w:spacing w:after="0" w:line="220" w:lineRule="atLeast"/>
        <w:rPr>
          <w:rFonts w:ascii="Arial" w:eastAsia="Times New Roman" w:hAnsi="Arial" w:cs="Arial"/>
          <w:color w:val="000000"/>
          <w:sz w:val="19"/>
          <w:szCs w:val="19"/>
        </w:rPr>
      </w:pPr>
    </w:p>
    <w:p w14:paraId="7CA51419" w14:textId="77777777" w:rsidR="00525323" w:rsidRDefault="00551879" w:rsidP="00551879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>D</w:t>
      </w:r>
      <w:r w:rsidRPr="00551879">
        <w:rPr>
          <w:rFonts w:ascii="Arial" w:eastAsia="Times New Roman" w:hAnsi="Arial" w:cs="Arial"/>
          <w:sz w:val="19"/>
          <w:szCs w:val="19"/>
        </w:rPr>
        <w:t xml:space="preserve">escribe the spectrum of alcoholic liver disease from fatty liver to hepatocellular carcinoma. </w:t>
      </w:r>
    </w:p>
    <w:p w14:paraId="17222896" w14:textId="7E256BCA" w:rsidR="00551879" w:rsidRPr="00525323" w:rsidRDefault="00551879" w:rsidP="00551879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525323">
        <w:rPr>
          <w:rFonts w:ascii="Arial" w:eastAsia="Times New Roman" w:hAnsi="Arial" w:cs="Arial"/>
          <w:sz w:val="19"/>
          <w:szCs w:val="19"/>
        </w:rPr>
        <w:t xml:space="preserve">Describe the clinical syndrome of alcoholic hepatitis including presentation, physical exam </w:t>
      </w:r>
    </w:p>
    <w:p w14:paraId="18CD7332" w14:textId="77777777" w:rsidR="00525323" w:rsidRDefault="00551879" w:rsidP="00551879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551879">
        <w:rPr>
          <w:rFonts w:ascii="Arial" w:eastAsia="Times New Roman" w:hAnsi="Arial" w:cs="Arial"/>
          <w:sz w:val="19"/>
          <w:szCs w:val="19"/>
        </w:rPr>
        <w:t>findings, and laboratory values.</w:t>
      </w:r>
    </w:p>
    <w:p w14:paraId="7826264A" w14:textId="77777777" w:rsidR="00525323" w:rsidRDefault="00551879" w:rsidP="00551879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525323">
        <w:rPr>
          <w:rFonts w:ascii="Arial" w:eastAsia="Times New Roman" w:hAnsi="Arial" w:cs="Arial"/>
          <w:sz w:val="19"/>
          <w:szCs w:val="19"/>
        </w:rPr>
        <w:t>Describe</w:t>
      </w:r>
      <w:r w:rsidR="00525323">
        <w:rPr>
          <w:rFonts w:ascii="Arial" w:eastAsia="Times New Roman" w:hAnsi="Arial" w:cs="Arial"/>
          <w:sz w:val="19"/>
          <w:szCs w:val="19"/>
        </w:rPr>
        <w:t xml:space="preserve"> how to use</w:t>
      </w:r>
      <w:r w:rsidRPr="00525323">
        <w:rPr>
          <w:rFonts w:ascii="Arial" w:eastAsia="Times New Roman" w:hAnsi="Arial" w:cs="Arial"/>
          <w:sz w:val="19"/>
          <w:szCs w:val="19"/>
        </w:rPr>
        <w:t xml:space="preserve"> the Maddrey Discriminant Function score</w:t>
      </w:r>
      <w:r w:rsidR="00525323">
        <w:rPr>
          <w:rFonts w:ascii="Arial" w:eastAsia="Times New Roman" w:hAnsi="Arial" w:cs="Arial"/>
          <w:sz w:val="19"/>
          <w:szCs w:val="19"/>
        </w:rPr>
        <w:t>, its limitations, and how to use the Lille score.</w:t>
      </w:r>
    </w:p>
    <w:p w14:paraId="0A0C08F4" w14:textId="2790C6C4" w:rsidR="00551879" w:rsidRPr="00525323" w:rsidRDefault="00551879" w:rsidP="00551879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525323">
        <w:rPr>
          <w:rFonts w:ascii="Arial" w:eastAsia="Times New Roman" w:hAnsi="Arial" w:cs="Arial"/>
          <w:sz w:val="19"/>
          <w:szCs w:val="19"/>
        </w:rPr>
        <w:t>Know the major contraindications to steroids for alcoholic hepatitis.</w:t>
      </w:r>
    </w:p>
    <w:p w14:paraId="2807555C" w14:textId="77777777" w:rsidR="00551879" w:rsidRDefault="00551879" w:rsidP="0064081E">
      <w:pPr>
        <w:spacing w:after="0" w:line="220" w:lineRule="atLeast"/>
        <w:rPr>
          <w:rFonts w:ascii="Arial" w:eastAsia="Times New Roman" w:hAnsi="Arial" w:cs="Arial"/>
          <w:color w:val="000000"/>
          <w:sz w:val="19"/>
          <w:szCs w:val="19"/>
        </w:rPr>
      </w:pPr>
    </w:p>
    <w:p w14:paraId="3171C432" w14:textId="748072AD" w:rsidR="0064081E" w:rsidRDefault="0064081E" w:rsidP="0064081E">
      <w:pPr>
        <w:spacing w:after="0" w:line="220" w:lineRule="atLeast"/>
        <w:rPr>
          <w:rFonts w:ascii="Arial" w:eastAsia="Times New Roman" w:hAnsi="Arial" w:cs="Arial"/>
          <w:color w:val="000000"/>
          <w:sz w:val="19"/>
          <w:szCs w:val="19"/>
        </w:rPr>
      </w:pPr>
    </w:p>
    <w:p w14:paraId="7EBC3FBE" w14:textId="16E6679E" w:rsidR="0064081E" w:rsidRDefault="0064081E" w:rsidP="0064081E">
      <w:pPr>
        <w:spacing w:after="0" w:line="220" w:lineRule="atLeast"/>
        <w:rPr>
          <w:rFonts w:ascii="Arial" w:eastAsia="Times New Roman" w:hAnsi="Arial" w:cs="Arial"/>
          <w:color w:val="000000"/>
          <w:sz w:val="19"/>
          <w:szCs w:val="19"/>
        </w:rPr>
      </w:pPr>
    </w:p>
    <w:p w14:paraId="2021DB29" w14:textId="00C4C4AC" w:rsidR="0064081E" w:rsidRDefault="0064081E" w:rsidP="0064081E">
      <w:pPr>
        <w:spacing w:after="0" w:line="220" w:lineRule="atLeast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>Dysphagia:</w:t>
      </w:r>
      <w:r w:rsidR="00551879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</w:p>
    <w:p w14:paraId="785A88D2" w14:textId="342CA957" w:rsidR="0064081E" w:rsidRDefault="0064081E" w:rsidP="0064081E">
      <w:pPr>
        <w:spacing w:after="0" w:line="220" w:lineRule="atLeast"/>
        <w:rPr>
          <w:rFonts w:ascii="Arial" w:eastAsia="Times New Roman" w:hAnsi="Arial" w:cs="Arial"/>
          <w:color w:val="000000"/>
          <w:sz w:val="19"/>
          <w:szCs w:val="19"/>
        </w:rPr>
      </w:pPr>
    </w:p>
    <w:p w14:paraId="4BA29B39" w14:textId="77777777" w:rsidR="00551879" w:rsidRDefault="0064081E" w:rsidP="0064081E">
      <w:pPr>
        <w:pStyle w:val="ListParagraph"/>
        <w:numPr>
          <w:ilvl w:val="0"/>
          <w:numId w:val="1"/>
        </w:numPr>
        <w:spacing w:after="0" w:line="220" w:lineRule="atLeast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 xml:space="preserve">Compare motility, functional, and anatomic dysphagia. Define them, list some causes, and describe how a patient might experience them. </w:t>
      </w:r>
    </w:p>
    <w:p w14:paraId="17794A5E" w14:textId="3829C93D" w:rsidR="0064081E" w:rsidRDefault="0064081E" w:rsidP="0064081E">
      <w:pPr>
        <w:pStyle w:val="ListParagraph"/>
        <w:numPr>
          <w:ilvl w:val="0"/>
          <w:numId w:val="1"/>
        </w:numPr>
        <w:spacing w:after="0" w:line="22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551879">
        <w:rPr>
          <w:rFonts w:ascii="Arial" w:eastAsia="Times New Roman" w:hAnsi="Arial" w:cs="Arial"/>
          <w:color w:val="000000"/>
          <w:sz w:val="19"/>
          <w:szCs w:val="19"/>
        </w:rPr>
        <w:t>Understand the appropriate differential diagnosis and evaluation of odynophagia.</w:t>
      </w:r>
    </w:p>
    <w:p w14:paraId="3619FE21" w14:textId="09DE7877" w:rsidR="00551879" w:rsidRDefault="00551879" w:rsidP="0064081E">
      <w:pPr>
        <w:pStyle w:val="ListParagraph"/>
        <w:numPr>
          <w:ilvl w:val="0"/>
          <w:numId w:val="1"/>
        </w:numPr>
        <w:spacing w:after="0" w:line="220" w:lineRule="atLeast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>When is upper endoscopy warranted in patients with GERD?</w:t>
      </w:r>
    </w:p>
    <w:p w14:paraId="36C02DAB" w14:textId="0622BF5E" w:rsidR="00551879" w:rsidRDefault="00551879" w:rsidP="0064081E">
      <w:pPr>
        <w:pStyle w:val="ListParagraph"/>
        <w:numPr>
          <w:ilvl w:val="0"/>
          <w:numId w:val="1"/>
        </w:numPr>
        <w:spacing w:after="0" w:line="220" w:lineRule="atLeast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>How is EE diagnosed and what is the treatment?</w:t>
      </w:r>
    </w:p>
    <w:p w14:paraId="5954CD43" w14:textId="77777777" w:rsidR="00551879" w:rsidRDefault="00551879" w:rsidP="0064081E">
      <w:pPr>
        <w:pStyle w:val="ListParagraph"/>
        <w:numPr>
          <w:ilvl w:val="0"/>
          <w:numId w:val="1"/>
        </w:numPr>
        <w:spacing w:after="0" w:line="220" w:lineRule="atLeast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>How can achalasia be treated?</w:t>
      </w:r>
    </w:p>
    <w:p w14:paraId="6B2D968D" w14:textId="051031D8" w:rsidR="0064081E" w:rsidRPr="00551879" w:rsidRDefault="0064081E" w:rsidP="0064081E">
      <w:pPr>
        <w:pStyle w:val="ListParagraph"/>
        <w:numPr>
          <w:ilvl w:val="0"/>
          <w:numId w:val="1"/>
        </w:numPr>
        <w:spacing w:after="0" w:line="22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551879">
        <w:rPr>
          <w:rFonts w:ascii="Arial" w:eastAsia="Times New Roman" w:hAnsi="Arial" w:cs="Arial"/>
          <w:color w:val="000000"/>
          <w:sz w:val="19"/>
          <w:szCs w:val="19"/>
        </w:rPr>
        <w:t xml:space="preserve">Understand the indications for screening for Barett’s esophagus and its treatment options. </w:t>
      </w:r>
    </w:p>
    <w:p w14:paraId="0253BC61" w14:textId="77777777" w:rsidR="00E64099" w:rsidRDefault="00E64099" w:rsidP="00D60B86">
      <w:pPr>
        <w:spacing w:after="0" w:line="240" w:lineRule="auto"/>
      </w:pPr>
    </w:p>
    <w:p w14:paraId="689F44BB" w14:textId="77777777" w:rsidR="00E64099" w:rsidRDefault="00E64099" w:rsidP="00D60B86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</w:p>
    <w:p w14:paraId="1F4C0EB9" w14:textId="17B9B59B" w:rsidR="00D60B86" w:rsidRDefault="00E64099" w:rsidP="00D60B86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 xml:space="preserve">Complications of cirrhosis </w:t>
      </w:r>
      <w:bookmarkStart w:id="0" w:name="_GoBack"/>
      <w:bookmarkEnd w:id="0"/>
    </w:p>
    <w:p w14:paraId="39F05188" w14:textId="77777777" w:rsidR="00E64099" w:rsidRPr="00D60B86" w:rsidRDefault="00E64099" w:rsidP="00D60B86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</w:p>
    <w:p w14:paraId="43DD8156" w14:textId="1A685BFC" w:rsidR="00D60B86" w:rsidRPr="00E64099" w:rsidRDefault="00D60B86" w:rsidP="00E64099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E64099">
        <w:rPr>
          <w:rFonts w:ascii="Arial" w:eastAsia="Times New Roman" w:hAnsi="Arial" w:cs="Arial"/>
          <w:sz w:val="19"/>
          <w:szCs w:val="19"/>
        </w:rPr>
        <w:t>Describe the initial laboratory evaluation for ascites to determine its cause.</w:t>
      </w:r>
    </w:p>
    <w:p w14:paraId="45D143ED" w14:textId="0B17EE3F" w:rsidR="00D60B86" w:rsidRPr="00E64099" w:rsidRDefault="00D60B86" w:rsidP="00E64099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E64099">
        <w:rPr>
          <w:rFonts w:ascii="Arial" w:eastAsia="Times New Roman" w:hAnsi="Arial" w:cs="Arial"/>
          <w:sz w:val="19"/>
          <w:szCs w:val="19"/>
        </w:rPr>
        <w:t>Describe the first</w:t>
      </w:r>
      <w:r w:rsidR="001A6017" w:rsidRPr="00E64099">
        <w:rPr>
          <w:rFonts w:ascii="Arial" w:eastAsia="Times New Roman" w:hAnsi="Arial" w:cs="Arial"/>
          <w:sz w:val="19"/>
          <w:szCs w:val="19"/>
        </w:rPr>
        <w:t xml:space="preserve"> </w:t>
      </w:r>
      <w:r w:rsidRPr="00E64099">
        <w:rPr>
          <w:rFonts w:ascii="Arial" w:eastAsia="Times New Roman" w:hAnsi="Arial" w:cs="Arial"/>
          <w:sz w:val="19"/>
          <w:szCs w:val="19"/>
        </w:rPr>
        <w:t>line treatment for ascites due to portal hypertension and cirrhosis.</w:t>
      </w:r>
    </w:p>
    <w:p w14:paraId="0827C0B4" w14:textId="2F29F40A" w:rsidR="00D60B86" w:rsidRPr="00D60B86" w:rsidRDefault="00D60B86" w:rsidP="00D60B86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</w:p>
    <w:p w14:paraId="6BEC7445" w14:textId="2C91822A" w:rsidR="00D60B86" w:rsidRPr="00E64099" w:rsidRDefault="00D60B86" w:rsidP="00E64099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E64099">
        <w:rPr>
          <w:rFonts w:ascii="Arial" w:eastAsia="Times New Roman" w:hAnsi="Arial" w:cs="Arial"/>
          <w:sz w:val="19"/>
          <w:szCs w:val="19"/>
        </w:rPr>
        <w:t>Describe the indication and recommended dosage for albumin after large volume paracentesis.</w:t>
      </w:r>
    </w:p>
    <w:p w14:paraId="2073A48B" w14:textId="2A47DB53" w:rsidR="00D60B86" w:rsidRPr="00E64099" w:rsidRDefault="00D60B86" w:rsidP="00E64099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E64099">
        <w:rPr>
          <w:rFonts w:ascii="Arial" w:eastAsia="Times New Roman" w:hAnsi="Arial" w:cs="Arial"/>
          <w:sz w:val="19"/>
          <w:szCs w:val="19"/>
        </w:rPr>
        <w:t>Know the laboratory definition for SBP and the recommended treatments (IV and po).</w:t>
      </w:r>
    </w:p>
    <w:p w14:paraId="1831B983" w14:textId="77777777" w:rsidR="00E64099" w:rsidRDefault="00D60B86" w:rsidP="00D60B86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E64099">
        <w:rPr>
          <w:rFonts w:ascii="Arial" w:eastAsia="Times New Roman" w:hAnsi="Arial" w:cs="Arial"/>
          <w:sz w:val="19"/>
          <w:szCs w:val="19"/>
        </w:rPr>
        <w:t>Know the indications for SBP prophylaxis in the hospital setting and lifelong.</w:t>
      </w:r>
    </w:p>
    <w:p w14:paraId="54DBE666" w14:textId="77777777" w:rsidR="00E64099" w:rsidRDefault="00D60B86" w:rsidP="00D60B86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E64099">
        <w:rPr>
          <w:rFonts w:ascii="Arial" w:eastAsia="Times New Roman" w:hAnsi="Arial" w:cs="Arial"/>
          <w:sz w:val="19"/>
          <w:szCs w:val="19"/>
        </w:rPr>
        <w:t>Describe five precipitants for new or worsening hepatic encephalopathy.</w:t>
      </w:r>
    </w:p>
    <w:p w14:paraId="0FF2EA1D" w14:textId="77777777" w:rsidR="00E64099" w:rsidRDefault="00D60B86" w:rsidP="00D60B86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E64099">
        <w:rPr>
          <w:rFonts w:ascii="Arial" w:eastAsia="Times New Roman" w:hAnsi="Arial" w:cs="Arial"/>
          <w:sz w:val="19"/>
          <w:szCs w:val="19"/>
        </w:rPr>
        <w:t>Know the</w:t>
      </w:r>
      <w:r w:rsidR="001A6017" w:rsidRPr="00E64099">
        <w:rPr>
          <w:rFonts w:ascii="Arial" w:eastAsia="Times New Roman" w:hAnsi="Arial" w:cs="Arial"/>
          <w:sz w:val="19"/>
          <w:szCs w:val="19"/>
        </w:rPr>
        <w:t xml:space="preserve"> </w:t>
      </w:r>
      <w:r w:rsidRPr="00E64099">
        <w:rPr>
          <w:rFonts w:ascii="Arial" w:eastAsia="Times New Roman" w:hAnsi="Arial" w:cs="Arial"/>
          <w:sz w:val="19"/>
          <w:szCs w:val="19"/>
        </w:rPr>
        <w:t>medication</w:t>
      </w:r>
      <w:r w:rsidR="001A6017" w:rsidRPr="00E64099">
        <w:rPr>
          <w:rFonts w:ascii="Arial" w:eastAsia="Times New Roman" w:hAnsi="Arial" w:cs="Arial"/>
          <w:sz w:val="19"/>
          <w:szCs w:val="19"/>
        </w:rPr>
        <w:t xml:space="preserve"> </w:t>
      </w:r>
      <w:r w:rsidRPr="00E64099">
        <w:rPr>
          <w:rFonts w:ascii="Arial" w:eastAsia="Times New Roman" w:hAnsi="Arial" w:cs="Arial"/>
          <w:sz w:val="19"/>
          <w:szCs w:val="19"/>
        </w:rPr>
        <w:t>that may be added for patient</w:t>
      </w:r>
      <w:r w:rsidR="001A6017" w:rsidRPr="00E64099">
        <w:rPr>
          <w:rFonts w:ascii="Arial" w:eastAsia="Times New Roman" w:hAnsi="Arial" w:cs="Arial"/>
          <w:sz w:val="19"/>
          <w:szCs w:val="19"/>
        </w:rPr>
        <w:t xml:space="preserve"> </w:t>
      </w:r>
      <w:r w:rsidRPr="00E64099">
        <w:rPr>
          <w:rFonts w:ascii="Arial" w:eastAsia="Times New Roman" w:hAnsi="Arial" w:cs="Arial"/>
          <w:sz w:val="19"/>
          <w:szCs w:val="19"/>
        </w:rPr>
        <w:t xml:space="preserve">whose encephalopathy is refractory to lactulose monotherapy. </w:t>
      </w:r>
    </w:p>
    <w:p w14:paraId="3FDF3763" w14:textId="3AF68632" w:rsidR="00E64099" w:rsidRDefault="00D60B86" w:rsidP="00D60B86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E64099">
        <w:rPr>
          <w:rFonts w:ascii="Arial" w:eastAsia="Times New Roman" w:hAnsi="Arial" w:cs="Arial"/>
          <w:sz w:val="19"/>
          <w:szCs w:val="19"/>
        </w:rPr>
        <w:t>Describe the appropriate endoscopic screening</w:t>
      </w:r>
      <w:r w:rsidR="00E64099">
        <w:rPr>
          <w:rFonts w:ascii="Arial" w:eastAsia="Times New Roman" w:hAnsi="Arial" w:cs="Arial"/>
          <w:sz w:val="19"/>
          <w:szCs w:val="19"/>
        </w:rPr>
        <w:t xml:space="preserve"> for esophageal varices and management based on size.</w:t>
      </w:r>
    </w:p>
    <w:p w14:paraId="67BDB74E" w14:textId="77777777" w:rsidR="00E64099" w:rsidRDefault="00D60B86" w:rsidP="00D60B86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E64099">
        <w:rPr>
          <w:rFonts w:ascii="Arial" w:eastAsia="Times New Roman" w:hAnsi="Arial" w:cs="Arial"/>
          <w:sz w:val="19"/>
          <w:szCs w:val="19"/>
        </w:rPr>
        <w:t>Describe the appropriate treatment for acute variceal bleeding including bleeding that is</w:t>
      </w:r>
      <w:r w:rsidR="001A6017" w:rsidRPr="00E64099">
        <w:rPr>
          <w:rFonts w:ascii="Arial" w:eastAsia="Times New Roman" w:hAnsi="Arial" w:cs="Arial"/>
          <w:sz w:val="19"/>
          <w:szCs w:val="19"/>
        </w:rPr>
        <w:t xml:space="preserve"> </w:t>
      </w:r>
      <w:r w:rsidRPr="00E64099">
        <w:rPr>
          <w:rFonts w:ascii="Arial" w:eastAsia="Times New Roman" w:hAnsi="Arial" w:cs="Arial"/>
          <w:sz w:val="19"/>
          <w:szCs w:val="19"/>
        </w:rPr>
        <w:t>refractory to standard endoscopic treatment.</w:t>
      </w:r>
    </w:p>
    <w:p w14:paraId="0129196D" w14:textId="77777777" w:rsidR="00E64099" w:rsidRDefault="00D60B86" w:rsidP="00D60B86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E64099">
        <w:rPr>
          <w:rFonts w:ascii="Arial" w:eastAsia="Times New Roman" w:hAnsi="Arial" w:cs="Arial"/>
          <w:sz w:val="19"/>
          <w:szCs w:val="19"/>
        </w:rPr>
        <w:t>Define hepatorenal</w:t>
      </w:r>
      <w:r w:rsidR="00E64099">
        <w:rPr>
          <w:rFonts w:ascii="Arial" w:eastAsia="Times New Roman" w:hAnsi="Arial" w:cs="Arial"/>
          <w:sz w:val="19"/>
          <w:szCs w:val="19"/>
        </w:rPr>
        <w:t xml:space="preserve"> </w:t>
      </w:r>
      <w:r w:rsidRPr="00E64099">
        <w:rPr>
          <w:rFonts w:ascii="Arial" w:eastAsia="Times New Roman" w:hAnsi="Arial" w:cs="Arial"/>
          <w:sz w:val="19"/>
          <w:szCs w:val="19"/>
        </w:rPr>
        <w:t xml:space="preserve">syndrome (including type 1 and type 2) and its pathophysiology. </w:t>
      </w:r>
    </w:p>
    <w:p w14:paraId="2D31D2FD" w14:textId="77777777" w:rsidR="00E64099" w:rsidRDefault="00D60B86" w:rsidP="00D60B86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E64099">
        <w:rPr>
          <w:rFonts w:ascii="Arial" w:eastAsia="Times New Roman" w:hAnsi="Arial" w:cs="Arial"/>
          <w:sz w:val="19"/>
          <w:szCs w:val="19"/>
        </w:rPr>
        <w:t>Describe the current treatment strategy for type 1 hepatorenal syndrome.</w:t>
      </w:r>
    </w:p>
    <w:p w14:paraId="5E544C85" w14:textId="4D46B8F1" w:rsidR="00D60B86" w:rsidRPr="00E64099" w:rsidRDefault="00D60B86" w:rsidP="00D60B86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E64099">
        <w:rPr>
          <w:rFonts w:ascii="Arial" w:eastAsia="Times New Roman" w:hAnsi="Arial" w:cs="Arial"/>
          <w:sz w:val="19"/>
          <w:szCs w:val="19"/>
        </w:rPr>
        <w:t>Define hepatopulmonary syndrome, hepatic hydrothorax, and portopulmonary hypertension</w:t>
      </w:r>
    </w:p>
    <w:p w14:paraId="6BB4A7EA" w14:textId="77777777" w:rsidR="00D60B86" w:rsidRDefault="00D60B86"/>
    <w:sectPr w:rsidR="00D60B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71EBC5" w14:textId="77777777" w:rsidR="00D5252C" w:rsidRDefault="00D5252C" w:rsidP="0064081E">
      <w:pPr>
        <w:spacing w:after="0" w:line="240" w:lineRule="auto"/>
      </w:pPr>
      <w:r>
        <w:separator/>
      </w:r>
    </w:p>
  </w:endnote>
  <w:endnote w:type="continuationSeparator" w:id="0">
    <w:p w14:paraId="737FC275" w14:textId="77777777" w:rsidR="00D5252C" w:rsidRDefault="00D5252C" w:rsidP="00640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010514" w14:textId="77777777" w:rsidR="00D5252C" w:rsidRDefault="00D5252C" w:rsidP="0064081E">
      <w:pPr>
        <w:spacing w:after="0" w:line="240" w:lineRule="auto"/>
      </w:pPr>
      <w:r>
        <w:separator/>
      </w:r>
    </w:p>
  </w:footnote>
  <w:footnote w:type="continuationSeparator" w:id="0">
    <w:p w14:paraId="0210F04C" w14:textId="77777777" w:rsidR="00D5252C" w:rsidRDefault="00D5252C" w:rsidP="006408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E0398"/>
    <w:multiLevelType w:val="hybridMultilevel"/>
    <w:tmpl w:val="768C7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D277E"/>
    <w:multiLevelType w:val="hybridMultilevel"/>
    <w:tmpl w:val="277C1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C63E5E"/>
    <w:multiLevelType w:val="hybridMultilevel"/>
    <w:tmpl w:val="98160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8B1B70"/>
    <w:multiLevelType w:val="hybridMultilevel"/>
    <w:tmpl w:val="20D84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558"/>
    <w:rsid w:val="00085ADD"/>
    <w:rsid w:val="000B3021"/>
    <w:rsid w:val="001A6017"/>
    <w:rsid w:val="002B6ECF"/>
    <w:rsid w:val="003B1AED"/>
    <w:rsid w:val="00525323"/>
    <w:rsid w:val="00551879"/>
    <w:rsid w:val="0064081E"/>
    <w:rsid w:val="009E6558"/>
    <w:rsid w:val="00D5252C"/>
    <w:rsid w:val="00D60B86"/>
    <w:rsid w:val="00E6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4CCD140"/>
  <w15:chartTrackingRefBased/>
  <w15:docId w15:val="{464A0A84-6EDE-4200-AD44-C2986CE99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0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81E"/>
  </w:style>
  <w:style w:type="paragraph" w:styleId="Footer">
    <w:name w:val="footer"/>
    <w:basedOn w:val="Normal"/>
    <w:link w:val="FooterChar"/>
    <w:uiPriority w:val="99"/>
    <w:unhideWhenUsed/>
    <w:rsid w:val="00640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81E"/>
  </w:style>
  <w:style w:type="paragraph" w:styleId="ListParagraph">
    <w:name w:val="List Paragraph"/>
    <w:basedOn w:val="Normal"/>
    <w:uiPriority w:val="34"/>
    <w:qFormat/>
    <w:rsid w:val="00640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9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8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3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2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1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Archbold, Dana - (danaarchbold)</dc:creator>
  <cp:keywords/>
  <dc:description/>
  <cp:lastModifiedBy>Archbold, Dana M</cp:lastModifiedBy>
  <cp:revision>3</cp:revision>
  <dcterms:created xsi:type="dcterms:W3CDTF">2018-10-24T16:48:00Z</dcterms:created>
  <dcterms:modified xsi:type="dcterms:W3CDTF">2018-10-26T17:33:00Z</dcterms:modified>
</cp:coreProperties>
</file>