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8E503D" w14:textId="7A8071BD" w:rsidR="00047796" w:rsidRDefault="0058190B" w:rsidP="0058190B">
      <w:pPr>
        <w:jc w:val="center"/>
        <w:rPr>
          <w:b/>
          <w:bCs/>
          <w:u w:val="single"/>
        </w:rPr>
      </w:pPr>
      <w:r w:rsidRPr="0058190B">
        <w:rPr>
          <w:b/>
          <w:bCs/>
          <w:u w:val="single"/>
        </w:rPr>
        <w:t>September 8, 2026, AHD Learning Objectives</w:t>
      </w:r>
    </w:p>
    <w:p w14:paraId="5E5A6F44" w14:textId="77777777" w:rsidR="0058190B" w:rsidRDefault="0058190B" w:rsidP="0058190B">
      <w:pPr>
        <w:rPr>
          <w:b/>
          <w:bCs/>
          <w:u w:val="single"/>
        </w:rPr>
      </w:pPr>
    </w:p>
    <w:p w14:paraId="7A0AED6C" w14:textId="3386705D" w:rsidR="0058190B" w:rsidRDefault="0058190B" w:rsidP="0058190B">
      <w:pPr>
        <w:rPr>
          <w:b/>
          <w:bCs/>
          <w:u w:val="single"/>
        </w:rPr>
      </w:pPr>
      <w:r>
        <w:rPr>
          <w:b/>
          <w:bCs/>
          <w:u w:val="single"/>
        </w:rPr>
        <w:t>Myeloma/MGUS/SM</w:t>
      </w:r>
      <w:r w:rsidR="00971A5A">
        <w:rPr>
          <w:b/>
          <w:bCs/>
          <w:u w:val="single"/>
        </w:rPr>
        <w:t>:</w:t>
      </w:r>
    </w:p>
    <w:p w14:paraId="763A1E15" w14:textId="09C0E327" w:rsidR="00971A5A" w:rsidRDefault="00971A5A" w:rsidP="00971A5A">
      <w:pPr>
        <w:pStyle w:val="ListParagraph"/>
        <w:numPr>
          <w:ilvl w:val="0"/>
          <w:numId w:val="1"/>
        </w:numPr>
      </w:pPr>
      <w:r>
        <w:t>Identify monoclonal gammopathy of undetermined significance (MGUS) by serum M-protein &lt; 3g/dL, bone marrow plasma cells &lt;10%, and the complete absence of end-organ damage or symptoms.</w:t>
      </w:r>
    </w:p>
    <w:p w14:paraId="386B5C1F" w14:textId="6DB65A92" w:rsidR="00971A5A" w:rsidRDefault="00971A5A" w:rsidP="00971A5A">
      <w:pPr>
        <w:pStyle w:val="ListParagraph"/>
        <w:numPr>
          <w:ilvl w:val="0"/>
          <w:numId w:val="1"/>
        </w:numPr>
      </w:pPr>
      <w:r>
        <w:t xml:space="preserve">Differentiate smoldering myeloma (SM) by serum M-protein </w:t>
      </w:r>
      <w:r w:rsidR="00D907C8">
        <w:sym w:font="Symbol" w:char="F0B3"/>
      </w:r>
      <w:r w:rsidR="00D907C8">
        <w:t xml:space="preserve"> </w:t>
      </w:r>
      <w:r>
        <w:t xml:space="preserve">3 g/dL or urine M-protein </w:t>
      </w:r>
      <w:r w:rsidR="00D907C8">
        <w:sym w:font="Symbol" w:char="F0B3"/>
      </w:r>
      <w:r>
        <w:t xml:space="preserve"> 500 mg/24 h</w:t>
      </w:r>
      <w:r w:rsidR="00D907C8">
        <w:t>our, a</w:t>
      </w:r>
      <w:r>
        <w:t>nd/or clonal bone marrow plasma cells of 10%-60% without symptoms.</w:t>
      </w:r>
    </w:p>
    <w:p w14:paraId="77B8A39B" w14:textId="04608324" w:rsidR="00971A5A" w:rsidRDefault="00971A5A" w:rsidP="00971A5A">
      <w:pPr>
        <w:pStyle w:val="ListParagraph"/>
        <w:numPr>
          <w:ilvl w:val="0"/>
          <w:numId w:val="1"/>
        </w:numPr>
      </w:pPr>
      <w:r>
        <w:t>Recognize the diagnosis of active multiple myeloma by “CRAB” criteria (calcium elevation, renal insufficiency, anemia, bone lesions) and “</w:t>
      </w:r>
      <w:proofErr w:type="spellStart"/>
      <w:r>
        <w:t>SLiM</w:t>
      </w:r>
      <w:proofErr w:type="spellEnd"/>
      <w:r>
        <w:t xml:space="preserve">” myeloma-defining events (60% bone marrow plasma cells, involve/uninvolved free light chain ratio </w:t>
      </w:r>
      <w:r w:rsidR="00D907C8">
        <w:sym w:font="Symbol" w:char="F0B3"/>
      </w:r>
      <w:r>
        <w:t>100, or &gt; 1 focal MRI bone lesion.)</w:t>
      </w:r>
    </w:p>
    <w:p w14:paraId="75639900" w14:textId="4B15F975" w:rsidR="00971A5A" w:rsidRDefault="00971A5A" w:rsidP="00971A5A">
      <w:pPr>
        <w:pStyle w:val="ListParagraph"/>
        <w:numPr>
          <w:ilvl w:val="0"/>
          <w:numId w:val="1"/>
        </w:numPr>
      </w:pPr>
      <w:r>
        <w:t>Describe the interpretation of the Serum Protein Electrophoresis (SPEP) with immunofixation and serum free late chain (</w:t>
      </w:r>
      <w:proofErr w:type="spellStart"/>
      <w:r>
        <w:t>sLFC</w:t>
      </w:r>
      <w:proofErr w:type="spellEnd"/>
      <w:r>
        <w:t>) assays.</w:t>
      </w:r>
    </w:p>
    <w:p w14:paraId="4A4C2A5A" w14:textId="7D7317AD" w:rsidR="00971A5A" w:rsidRDefault="00971A5A" w:rsidP="00971A5A">
      <w:pPr>
        <w:pStyle w:val="ListParagraph"/>
        <w:numPr>
          <w:ilvl w:val="0"/>
          <w:numId w:val="1"/>
        </w:numPr>
      </w:pPr>
      <w:r>
        <w:t>Select advanced whole-body imaging, such as low-dose whole-body CT (LDWBCT), MRI, or PET-CT rather than standard skeletal x-ray surveys for accurate bone disease evaluation in SMM and active disease.</w:t>
      </w:r>
    </w:p>
    <w:p w14:paraId="6A272F43" w14:textId="3DA10968" w:rsidR="00971A5A" w:rsidRDefault="00971A5A" w:rsidP="00971A5A">
      <w:pPr>
        <w:pStyle w:val="ListParagraph"/>
        <w:numPr>
          <w:ilvl w:val="0"/>
          <w:numId w:val="1"/>
        </w:numPr>
      </w:pPr>
      <w:r>
        <w:t>Describe the prognosis of multiple myeloma and identify patients who benefit from treatment with bone marrow transplant versus chemotherapy.</w:t>
      </w:r>
    </w:p>
    <w:p w14:paraId="2B52C613" w14:textId="77777777" w:rsidR="00971A5A" w:rsidRPr="00971A5A" w:rsidRDefault="00971A5A" w:rsidP="00971A5A">
      <w:pPr>
        <w:rPr>
          <w:b/>
          <w:bCs/>
          <w:u w:val="single"/>
        </w:rPr>
      </w:pPr>
    </w:p>
    <w:p w14:paraId="496EE801" w14:textId="5D8E34A4" w:rsidR="00971A5A" w:rsidRDefault="00971A5A" w:rsidP="00971A5A">
      <w:pPr>
        <w:rPr>
          <w:b/>
          <w:bCs/>
          <w:u w:val="single"/>
        </w:rPr>
      </w:pPr>
      <w:r w:rsidRPr="00971A5A">
        <w:rPr>
          <w:b/>
          <w:bCs/>
          <w:u w:val="single"/>
        </w:rPr>
        <w:t>Thrombocytopenia:</w:t>
      </w:r>
    </w:p>
    <w:p w14:paraId="31D44DBB" w14:textId="0F619148" w:rsidR="00971A5A" w:rsidRDefault="008512D8" w:rsidP="00971A5A">
      <w:pPr>
        <w:pStyle w:val="ListParagraph"/>
        <w:numPr>
          <w:ilvl w:val="0"/>
          <w:numId w:val="2"/>
        </w:numPr>
      </w:pPr>
      <w:r>
        <w:t>Distinguish impaired production (bone marrow failure, hypoplasia), increased destruction (immune-mediated like ITP, DIC, HIT) and abnormal distribution/sequestration (hypersplenism).</w:t>
      </w:r>
    </w:p>
    <w:p w14:paraId="3D61524E" w14:textId="12DBE35D" w:rsidR="008512D8" w:rsidRDefault="008512D8" w:rsidP="00971A5A">
      <w:pPr>
        <w:pStyle w:val="ListParagraph"/>
        <w:numPr>
          <w:ilvl w:val="0"/>
          <w:numId w:val="2"/>
        </w:numPr>
      </w:pPr>
      <w:r>
        <w:t>Screen for systemic triggers including viral infections (HIV, HCV), medications, autoimmune diseases (SLE) and pregnancy related complications.</w:t>
      </w:r>
    </w:p>
    <w:p w14:paraId="6BFB5972" w14:textId="42A11EC9" w:rsidR="008512D8" w:rsidRDefault="008512D8" w:rsidP="00971A5A">
      <w:pPr>
        <w:pStyle w:val="ListParagraph"/>
        <w:numPr>
          <w:ilvl w:val="0"/>
          <w:numId w:val="2"/>
        </w:numPr>
      </w:pPr>
      <w:r>
        <w:t>Identify EDTA-induced platelet clumping via peripheral smear review before pursuing invasive workups.</w:t>
      </w:r>
    </w:p>
    <w:p w14:paraId="0034F01E" w14:textId="46DE8A0C" w:rsidR="008512D8" w:rsidRDefault="008512D8" w:rsidP="00971A5A">
      <w:pPr>
        <w:pStyle w:val="ListParagraph"/>
        <w:numPr>
          <w:ilvl w:val="0"/>
          <w:numId w:val="2"/>
        </w:numPr>
      </w:pPr>
      <w:r>
        <w:t>Evaluate the peripheral smear for schistocytes (TTP, HUS, TMA), giant platelets, or blasts (leukemia).</w:t>
      </w:r>
    </w:p>
    <w:p w14:paraId="04678A07" w14:textId="412117B0" w:rsidR="008512D8" w:rsidRDefault="008512D8" w:rsidP="00971A5A">
      <w:pPr>
        <w:pStyle w:val="ListParagraph"/>
        <w:numPr>
          <w:ilvl w:val="0"/>
          <w:numId w:val="2"/>
        </w:numPr>
      </w:pPr>
      <w:r>
        <w:t>Utilize appropriate secondary tests including reticulated/immature platelet fraction, coagulation studies (PT/INR, aPTT, fibrinogen), haptoglobin, LDH, and direct antiglobulin test.</w:t>
      </w:r>
    </w:p>
    <w:p w14:paraId="05690160" w14:textId="2EE8E0E4" w:rsidR="008512D8" w:rsidRDefault="00AC3E6A" w:rsidP="00971A5A">
      <w:pPr>
        <w:pStyle w:val="ListParagraph"/>
        <w:numPr>
          <w:ilvl w:val="0"/>
          <w:numId w:val="2"/>
        </w:numPr>
      </w:pPr>
      <w:r>
        <w:lastRenderedPageBreak/>
        <w:t>Describe when bone marrow examination is required to evaluate unexplained cytopenias or rule out primary marrow disorders.</w:t>
      </w:r>
    </w:p>
    <w:p w14:paraId="56197C2A" w14:textId="4DEBE9E9" w:rsidR="00AC3E6A" w:rsidRDefault="00AC3E6A" w:rsidP="00971A5A">
      <w:pPr>
        <w:pStyle w:val="ListParagraph"/>
        <w:numPr>
          <w:ilvl w:val="0"/>
          <w:numId w:val="2"/>
        </w:numPr>
      </w:pPr>
      <w:r>
        <w:t>Diagnose and urgently treat hematologic emergencies such as  Thrombotic Thrombocytopenic Purpura (TTP), Heparin- Induced Thrombocytopenia (HIT) and Disseminated Intravascular Coagulation (DIC).</w:t>
      </w:r>
    </w:p>
    <w:p w14:paraId="41E1F674" w14:textId="4083F157" w:rsidR="00AC3E6A" w:rsidRDefault="00AC3E6A" w:rsidP="00971A5A">
      <w:pPr>
        <w:pStyle w:val="ListParagraph"/>
        <w:numPr>
          <w:ilvl w:val="0"/>
          <w:numId w:val="2"/>
        </w:numPr>
      </w:pPr>
      <w:r>
        <w:t>Apply first-line treatments (corticosteroids, IVIG) and understand second line agents (TPO-receptor agonists, rituximab) for immune thrombocytopenia.</w:t>
      </w:r>
    </w:p>
    <w:p w14:paraId="2D183BEE" w14:textId="2713AB2C" w:rsidR="00AC3E6A" w:rsidRDefault="00AC3E6A" w:rsidP="00971A5A">
      <w:pPr>
        <w:pStyle w:val="ListParagraph"/>
        <w:numPr>
          <w:ilvl w:val="0"/>
          <w:numId w:val="2"/>
        </w:numPr>
      </w:pPr>
      <w:r>
        <w:t xml:space="preserve">Apply evidence-based criterial for prophylactic versus therapeutic platelet transfusions,  accounting for active bleeding, procedural risks, and consumptive states (avoiding inappropriate transfusions in HIT or TTP). </w:t>
      </w:r>
    </w:p>
    <w:p w14:paraId="1AFAF41D" w14:textId="77777777" w:rsidR="00AC3E6A" w:rsidRDefault="00AC3E6A" w:rsidP="00AC3E6A"/>
    <w:p w14:paraId="755265E0" w14:textId="4F6F34BD" w:rsidR="00AC3E6A" w:rsidRDefault="00AC3E6A" w:rsidP="00AC3E6A">
      <w:pPr>
        <w:rPr>
          <w:b/>
          <w:bCs/>
          <w:u w:val="single"/>
        </w:rPr>
      </w:pPr>
      <w:r w:rsidRPr="00AC3E6A">
        <w:rPr>
          <w:b/>
          <w:bCs/>
          <w:u w:val="single"/>
        </w:rPr>
        <w:t>Anticoagulation Jeopardy</w:t>
      </w:r>
    </w:p>
    <w:p w14:paraId="589318B5" w14:textId="2F59FF72" w:rsidR="00AC3E6A" w:rsidRDefault="00AC3E6A" w:rsidP="00AC3E6A">
      <w:pPr>
        <w:pStyle w:val="ListParagraph"/>
        <w:numPr>
          <w:ilvl w:val="0"/>
          <w:numId w:val="3"/>
        </w:numPr>
      </w:pPr>
      <w:r>
        <w:t xml:space="preserve">Review the guidelines for Antithrombotic Therapy for VTE, </w:t>
      </w:r>
      <w:proofErr w:type="spellStart"/>
      <w:r>
        <w:t>Afib</w:t>
      </w:r>
      <w:proofErr w:type="spellEnd"/>
      <w:r>
        <w:t>, and mechanical heart valves according to the American Thoracic Society (ATS).</w:t>
      </w:r>
    </w:p>
    <w:p w14:paraId="42DEA181" w14:textId="1313861C" w:rsidR="00AC3E6A" w:rsidRDefault="00AC3E6A" w:rsidP="00AC3E6A">
      <w:pPr>
        <w:pStyle w:val="ListParagraph"/>
        <w:numPr>
          <w:ilvl w:val="0"/>
          <w:numId w:val="3"/>
        </w:numPr>
      </w:pPr>
      <w:r>
        <w:t xml:space="preserve">Describe the mechanism of action, appropriate doses and reversal agents for warfarin, apixaban, dabigatran, </w:t>
      </w:r>
      <w:proofErr w:type="spellStart"/>
      <w:r>
        <w:t>bivalrudin</w:t>
      </w:r>
      <w:proofErr w:type="spellEnd"/>
      <w:r>
        <w:t>, and heparin.</w:t>
      </w:r>
    </w:p>
    <w:p w14:paraId="71F04399" w14:textId="218625C9" w:rsidR="00AC3E6A" w:rsidRDefault="00AC3E6A" w:rsidP="00AC3E6A">
      <w:pPr>
        <w:pStyle w:val="ListParagraph"/>
        <w:numPr>
          <w:ilvl w:val="0"/>
          <w:numId w:val="3"/>
        </w:numPr>
      </w:pPr>
      <w:r>
        <w:t>Describe the laboratory tests and their use in assessing therapeutic efficacy in patients on the above anticoagulants.</w:t>
      </w:r>
    </w:p>
    <w:p w14:paraId="217FEA81" w14:textId="532552B8" w:rsidR="00A310B8" w:rsidRPr="00AC3E6A" w:rsidRDefault="00A310B8" w:rsidP="00AC3E6A">
      <w:pPr>
        <w:pStyle w:val="ListParagraph"/>
        <w:numPr>
          <w:ilvl w:val="0"/>
          <w:numId w:val="3"/>
        </w:numPr>
      </w:pPr>
      <w:r>
        <w:t xml:space="preserve">Describe the recommended management of anticoagulants with procedures such as lumbar puncture, endoscopy, </w:t>
      </w:r>
      <w:r w:rsidR="006425E1">
        <w:t>dental procedures, skin biopsy, ophthalmologic surgery, and laparotomy.</w:t>
      </w:r>
    </w:p>
    <w:sectPr w:rsidR="00A310B8" w:rsidRPr="00AC3E6A" w:rsidSect="0037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0F719A"/>
    <w:multiLevelType w:val="hybridMultilevel"/>
    <w:tmpl w:val="FFDC2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A6435"/>
    <w:multiLevelType w:val="hybridMultilevel"/>
    <w:tmpl w:val="122EC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D3B47"/>
    <w:multiLevelType w:val="hybridMultilevel"/>
    <w:tmpl w:val="ADDE9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267234">
    <w:abstractNumId w:val="1"/>
  </w:num>
  <w:num w:numId="2" w16cid:durableId="53704487">
    <w:abstractNumId w:val="2"/>
  </w:num>
  <w:num w:numId="3" w16cid:durableId="12039059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0B"/>
    <w:rsid w:val="00047796"/>
    <w:rsid w:val="001E0AA1"/>
    <w:rsid w:val="00371DD9"/>
    <w:rsid w:val="003748B3"/>
    <w:rsid w:val="004D48E2"/>
    <w:rsid w:val="0058190B"/>
    <w:rsid w:val="006425E1"/>
    <w:rsid w:val="008512D8"/>
    <w:rsid w:val="008D4061"/>
    <w:rsid w:val="00971A5A"/>
    <w:rsid w:val="00A310B8"/>
    <w:rsid w:val="00AC3E6A"/>
    <w:rsid w:val="00B6416E"/>
    <w:rsid w:val="00D907C8"/>
    <w:rsid w:val="00F1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BCAA0B"/>
  <w15:chartTrackingRefBased/>
  <w15:docId w15:val="{8C73C2E0-7F15-194C-A2ED-EEF1EF15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9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9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9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9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Shinar</dc:creator>
  <cp:keywords/>
  <dc:description/>
  <cp:lastModifiedBy>Ron Shinar</cp:lastModifiedBy>
  <cp:revision>2</cp:revision>
  <dcterms:created xsi:type="dcterms:W3CDTF">2026-07-30T21:46:00Z</dcterms:created>
  <dcterms:modified xsi:type="dcterms:W3CDTF">2026-07-30T21:46:00Z</dcterms:modified>
</cp:coreProperties>
</file>