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30E271" w14:textId="64907C38" w:rsidR="008B1A48" w:rsidRDefault="008B1A48" w:rsidP="008048FE">
      <w:pPr>
        <w:spacing w:after="0"/>
        <w:rPr>
          <w:rFonts w:ascii="Arial" w:hAnsi="Arial" w:cs="Arial"/>
          <w:b/>
          <w:bCs/>
          <w:u w:val="single"/>
        </w:rPr>
      </w:pPr>
      <w:r w:rsidRPr="008B1A48">
        <w:rPr>
          <w:rFonts w:ascii="Arial" w:hAnsi="Arial" w:cs="Arial"/>
          <w:b/>
          <w:bCs/>
          <w:u w:val="single"/>
        </w:rPr>
        <w:t>Sepsis:</w:t>
      </w:r>
    </w:p>
    <w:p w14:paraId="0E39DDEF" w14:textId="77777777" w:rsidR="00711556" w:rsidRPr="008B1A48" w:rsidRDefault="00711556" w:rsidP="008048FE">
      <w:pPr>
        <w:spacing w:after="0"/>
        <w:rPr>
          <w:rFonts w:ascii="Arial" w:hAnsi="Arial" w:cs="Arial"/>
          <w:b/>
          <w:bCs/>
          <w:u w:val="single"/>
        </w:rPr>
      </w:pPr>
    </w:p>
    <w:p w14:paraId="5881755B" w14:textId="77777777" w:rsidR="008B1A48" w:rsidRPr="008B1A48" w:rsidRDefault="008B1A48" w:rsidP="008B1A48">
      <w:pPr>
        <w:spacing w:line="240" w:lineRule="auto"/>
        <w:contextualSpacing/>
        <w:rPr>
          <w:rFonts w:ascii="Arial" w:hAnsi="Arial" w:cs="Arial"/>
          <w:b/>
          <w:bCs/>
          <w:sz w:val="20"/>
          <w:szCs w:val="20"/>
        </w:rPr>
      </w:pPr>
      <w:r w:rsidRPr="008B1A48">
        <w:rPr>
          <w:rFonts w:ascii="Arial" w:hAnsi="Arial" w:cs="Arial"/>
          <w:b/>
          <w:bCs/>
          <w:sz w:val="20"/>
          <w:szCs w:val="20"/>
        </w:rPr>
        <w:t>Required Reading:</w:t>
      </w:r>
    </w:p>
    <w:p w14:paraId="7980022A" w14:textId="77777777" w:rsidR="008B1A48" w:rsidRPr="008B1A48" w:rsidRDefault="008B1A48" w:rsidP="008B1A48">
      <w:pPr>
        <w:spacing w:line="240" w:lineRule="auto"/>
        <w:contextualSpacing/>
        <w:rPr>
          <w:rFonts w:ascii="Arial" w:hAnsi="Arial" w:cs="Arial"/>
          <w:sz w:val="20"/>
          <w:szCs w:val="20"/>
        </w:rPr>
      </w:pPr>
      <w:r w:rsidRPr="008B1A48">
        <w:rPr>
          <w:rFonts w:ascii="Arial" w:hAnsi="Arial" w:cs="Arial"/>
          <w:sz w:val="20"/>
          <w:szCs w:val="20"/>
        </w:rPr>
        <w:t xml:space="preserve">UpToDate: evaluation and management of suspected sepsis and septic shock in adults.    </w:t>
      </w:r>
    </w:p>
    <w:p w14:paraId="3EE00ADB" w14:textId="77777777" w:rsidR="008B1A48" w:rsidRPr="008B1A48" w:rsidRDefault="008B1A48" w:rsidP="008B1A48">
      <w:pPr>
        <w:spacing w:line="240" w:lineRule="auto"/>
        <w:contextualSpacing/>
        <w:rPr>
          <w:rFonts w:ascii="Arial" w:hAnsi="Arial" w:cs="Arial"/>
          <w:sz w:val="20"/>
          <w:szCs w:val="20"/>
        </w:rPr>
      </w:pPr>
      <w:r w:rsidRPr="008B1A48">
        <w:rPr>
          <w:rFonts w:ascii="Arial" w:hAnsi="Arial" w:cs="Arial"/>
          <w:sz w:val="20"/>
          <w:szCs w:val="20"/>
        </w:rPr>
        <w:t>UpToDate: sepsis syndromes in adults: epidemiology, definitions, clinical presentation, diagnosis, and prognosis</w:t>
      </w:r>
    </w:p>
    <w:p w14:paraId="340D484E" w14:textId="77777777" w:rsidR="008B1A48" w:rsidRPr="008B1A48" w:rsidRDefault="008B1A48" w:rsidP="008B1A48">
      <w:pPr>
        <w:spacing w:line="240" w:lineRule="auto"/>
        <w:contextualSpacing/>
        <w:rPr>
          <w:rFonts w:ascii="Arial" w:hAnsi="Arial" w:cs="Arial"/>
          <w:sz w:val="20"/>
          <w:szCs w:val="20"/>
        </w:rPr>
      </w:pPr>
    </w:p>
    <w:p w14:paraId="7C9B9C84" w14:textId="77777777" w:rsidR="008B1A48" w:rsidRPr="008B1A48" w:rsidRDefault="008B1A48" w:rsidP="008B1A48">
      <w:pPr>
        <w:spacing w:line="240" w:lineRule="auto"/>
        <w:contextualSpacing/>
        <w:rPr>
          <w:rFonts w:ascii="Arial" w:hAnsi="Arial" w:cs="Arial"/>
          <w:b/>
          <w:bCs/>
          <w:sz w:val="20"/>
          <w:szCs w:val="20"/>
        </w:rPr>
      </w:pPr>
      <w:r w:rsidRPr="008B1A48">
        <w:rPr>
          <w:rFonts w:ascii="Arial" w:hAnsi="Arial" w:cs="Arial"/>
          <w:b/>
          <w:bCs/>
          <w:sz w:val="20"/>
          <w:szCs w:val="20"/>
        </w:rPr>
        <w:t>Optional Readings:</w:t>
      </w:r>
    </w:p>
    <w:p w14:paraId="78D07F64" w14:textId="77777777" w:rsidR="008B1A48" w:rsidRPr="008B1A48" w:rsidRDefault="008B1A48" w:rsidP="008B1A48">
      <w:pPr>
        <w:spacing w:line="240" w:lineRule="auto"/>
        <w:contextualSpacing/>
        <w:rPr>
          <w:rFonts w:ascii="Arial" w:hAnsi="Arial" w:cs="Arial"/>
          <w:sz w:val="20"/>
          <w:szCs w:val="20"/>
        </w:rPr>
      </w:pPr>
      <w:r w:rsidRPr="008B1A48">
        <w:rPr>
          <w:rFonts w:ascii="Arial" w:hAnsi="Arial" w:cs="Arial"/>
          <w:sz w:val="20"/>
          <w:szCs w:val="20"/>
        </w:rPr>
        <w:t>SCCM: Surviving Sepsis Campaign Guidelines 2021</w:t>
      </w:r>
    </w:p>
    <w:p w14:paraId="71B420E0" w14:textId="77777777" w:rsidR="008B1A48" w:rsidRPr="008B1A48" w:rsidRDefault="008B1A48" w:rsidP="008B1A48">
      <w:pPr>
        <w:spacing w:line="240" w:lineRule="auto"/>
        <w:contextualSpacing/>
        <w:rPr>
          <w:rFonts w:ascii="Arial" w:hAnsi="Arial" w:cs="Arial"/>
          <w:sz w:val="20"/>
          <w:szCs w:val="20"/>
        </w:rPr>
      </w:pPr>
      <w:r w:rsidRPr="008B1A48">
        <w:rPr>
          <w:rFonts w:ascii="Arial" w:hAnsi="Arial" w:cs="Arial"/>
          <w:sz w:val="20"/>
          <w:szCs w:val="20"/>
        </w:rPr>
        <w:t>UpToDate: Infection in the solid organ transplant recipient</w:t>
      </w:r>
    </w:p>
    <w:p w14:paraId="265E33D4" w14:textId="77777777" w:rsidR="008B1A48" w:rsidRPr="008B1A48" w:rsidRDefault="008B1A48" w:rsidP="008B1A48">
      <w:pPr>
        <w:spacing w:line="240" w:lineRule="auto"/>
        <w:contextualSpacing/>
        <w:rPr>
          <w:rFonts w:ascii="Arial" w:hAnsi="Arial" w:cs="Arial"/>
          <w:sz w:val="20"/>
          <w:szCs w:val="20"/>
        </w:rPr>
      </w:pPr>
    </w:p>
    <w:p w14:paraId="06F708A3" w14:textId="77777777" w:rsidR="008B1A48" w:rsidRPr="008B1A48" w:rsidRDefault="008B1A48" w:rsidP="008B1A48">
      <w:pPr>
        <w:spacing w:line="240" w:lineRule="auto"/>
        <w:contextualSpacing/>
        <w:rPr>
          <w:rFonts w:ascii="Arial" w:hAnsi="Arial" w:cs="Arial"/>
          <w:b/>
          <w:bCs/>
          <w:sz w:val="20"/>
          <w:szCs w:val="20"/>
        </w:rPr>
      </w:pPr>
      <w:r w:rsidRPr="008B1A48">
        <w:rPr>
          <w:rFonts w:ascii="Arial" w:hAnsi="Arial" w:cs="Arial"/>
          <w:b/>
          <w:bCs/>
          <w:sz w:val="20"/>
          <w:szCs w:val="20"/>
        </w:rPr>
        <w:t>Learning Objectives</w:t>
      </w:r>
    </w:p>
    <w:p w14:paraId="4E1306AB" w14:textId="77777777" w:rsidR="008B1A48" w:rsidRPr="008B1A48" w:rsidRDefault="008B1A48" w:rsidP="008B1A48">
      <w:pPr>
        <w:spacing w:line="240" w:lineRule="auto"/>
        <w:contextualSpacing/>
        <w:rPr>
          <w:rFonts w:ascii="Arial" w:hAnsi="Arial" w:cs="Arial"/>
          <w:sz w:val="20"/>
          <w:szCs w:val="20"/>
        </w:rPr>
      </w:pPr>
      <w:r w:rsidRPr="008B1A48">
        <w:rPr>
          <w:rFonts w:ascii="Arial" w:hAnsi="Arial" w:cs="Arial"/>
          <w:sz w:val="20"/>
          <w:szCs w:val="20"/>
        </w:rPr>
        <w:t>List the host related risk factors for poor outcome in sepsis</w:t>
      </w:r>
    </w:p>
    <w:p w14:paraId="4AF3A377" w14:textId="77777777" w:rsidR="008B1A48" w:rsidRPr="008B1A48" w:rsidRDefault="008B1A48" w:rsidP="008B1A48">
      <w:pPr>
        <w:spacing w:after="0" w:line="240" w:lineRule="auto"/>
        <w:contextualSpacing/>
        <w:rPr>
          <w:rFonts w:ascii="Arial" w:hAnsi="Arial" w:cs="Arial"/>
          <w:sz w:val="20"/>
          <w:szCs w:val="20"/>
        </w:rPr>
      </w:pPr>
      <w:r w:rsidRPr="008B1A48">
        <w:rPr>
          <w:rFonts w:ascii="Arial" w:hAnsi="Arial" w:cs="Arial"/>
          <w:sz w:val="20"/>
          <w:szCs w:val="20"/>
        </w:rPr>
        <w:t>General principles of infection in solid organ transplant recipients</w:t>
      </w:r>
    </w:p>
    <w:p w14:paraId="7FD2E1CC" w14:textId="77777777" w:rsidR="008B1A48" w:rsidRPr="008B1A48" w:rsidRDefault="008B1A48" w:rsidP="008B1A48">
      <w:pPr>
        <w:spacing w:line="240" w:lineRule="auto"/>
        <w:contextualSpacing/>
        <w:rPr>
          <w:rFonts w:ascii="Arial" w:hAnsi="Arial" w:cs="Arial"/>
          <w:sz w:val="20"/>
          <w:szCs w:val="20"/>
        </w:rPr>
      </w:pPr>
      <w:r w:rsidRPr="008B1A48">
        <w:rPr>
          <w:rFonts w:ascii="Arial" w:hAnsi="Arial" w:cs="Arial"/>
          <w:sz w:val="20"/>
          <w:szCs w:val="20"/>
        </w:rPr>
        <w:t>What triggers the sepsis alert?</w:t>
      </w:r>
    </w:p>
    <w:p w14:paraId="582D3995" w14:textId="77777777" w:rsidR="008B1A48" w:rsidRPr="008B1A48" w:rsidRDefault="008B1A48" w:rsidP="008B1A48">
      <w:pPr>
        <w:spacing w:after="0"/>
        <w:rPr>
          <w:rFonts w:ascii="Arial" w:hAnsi="Arial" w:cs="Arial"/>
          <w:sz w:val="20"/>
          <w:szCs w:val="20"/>
        </w:rPr>
      </w:pPr>
      <w:r w:rsidRPr="008B1A48">
        <w:rPr>
          <w:rFonts w:ascii="Arial" w:hAnsi="Arial" w:cs="Arial"/>
          <w:sz w:val="20"/>
          <w:szCs w:val="20"/>
        </w:rPr>
        <w:t>What is in the sepsis bundle? And what is the time frame to complete? And how to monitor response to treatment?</w:t>
      </w:r>
    </w:p>
    <w:p w14:paraId="5A06E750" w14:textId="77777777" w:rsidR="008B1A48" w:rsidRPr="008B1A48" w:rsidRDefault="008B1A48" w:rsidP="008B1A48">
      <w:pPr>
        <w:spacing w:line="240" w:lineRule="auto"/>
        <w:contextualSpacing/>
        <w:rPr>
          <w:rFonts w:ascii="Arial" w:hAnsi="Arial" w:cs="Arial"/>
          <w:sz w:val="20"/>
          <w:szCs w:val="20"/>
        </w:rPr>
      </w:pPr>
      <w:r w:rsidRPr="008B1A48">
        <w:rPr>
          <w:rFonts w:ascii="Arial" w:hAnsi="Arial" w:cs="Arial"/>
          <w:sz w:val="20"/>
          <w:szCs w:val="20"/>
        </w:rPr>
        <w:t>Appropriate antibiotics for sepsis (broad spectrum)</w:t>
      </w:r>
    </w:p>
    <w:p w14:paraId="4310044A" w14:textId="77777777" w:rsidR="008B1A48" w:rsidRPr="008B1A48" w:rsidRDefault="008B1A48" w:rsidP="008048FE">
      <w:pPr>
        <w:spacing w:after="0"/>
        <w:rPr>
          <w:rFonts w:ascii="Arial" w:hAnsi="Arial" w:cs="Arial"/>
          <w:b/>
          <w:bCs/>
          <w:u w:val="single"/>
        </w:rPr>
      </w:pPr>
    </w:p>
    <w:p w14:paraId="6E0D9FC1" w14:textId="3B6718D8" w:rsidR="00B0795B" w:rsidRPr="008B1A48" w:rsidRDefault="008048FE" w:rsidP="008048FE">
      <w:pPr>
        <w:spacing w:after="0"/>
        <w:rPr>
          <w:rFonts w:ascii="Arial" w:hAnsi="Arial" w:cs="Arial"/>
          <w:b/>
          <w:bCs/>
          <w:u w:val="single"/>
        </w:rPr>
      </w:pPr>
      <w:r w:rsidRPr="008B1A48">
        <w:rPr>
          <w:rFonts w:ascii="Arial" w:hAnsi="Arial" w:cs="Arial"/>
          <w:b/>
          <w:bCs/>
          <w:u w:val="single"/>
        </w:rPr>
        <w:t>Acute pancreatitis</w:t>
      </w:r>
    </w:p>
    <w:p w14:paraId="755891EE" w14:textId="77777777" w:rsidR="008048FE" w:rsidRPr="008B1A48" w:rsidRDefault="008048FE" w:rsidP="008048FE">
      <w:pPr>
        <w:spacing w:after="0"/>
        <w:rPr>
          <w:rFonts w:ascii="Arial" w:hAnsi="Arial" w:cs="Arial"/>
          <w:sz w:val="20"/>
          <w:szCs w:val="20"/>
        </w:rPr>
      </w:pPr>
    </w:p>
    <w:p w14:paraId="4680F841" w14:textId="77777777" w:rsidR="008048FE" w:rsidRPr="008B1A48" w:rsidRDefault="008048FE" w:rsidP="008048FE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8B1A48">
        <w:rPr>
          <w:rFonts w:ascii="Arial" w:hAnsi="Arial" w:cs="Arial"/>
          <w:b/>
          <w:bCs/>
          <w:sz w:val="20"/>
          <w:szCs w:val="20"/>
        </w:rPr>
        <w:t>Required:</w:t>
      </w:r>
      <w:r w:rsidRPr="008B1A48">
        <w:rPr>
          <w:rFonts w:ascii="Arial" w:hAnsi="Arial" w:cs="Arial"/>
          <w:sz w:val="20"/>
          <w:szCs w:val="20"/>
        </w:rPr>
        <w:t xml:space="preserve"> </w:t>
      </w:r>
      <w:r w:rsidRPr="008B1A48">
        <w:rPr>
          <w:rFonts w:ascii="Arial" w:hAnsi="Arial" w:cs="Arial"/>
          <w:sz w:val="20"/>
          <w:szCs w:val="20"/>
        </w:rPr>
        <w:br/>
        <w:t>UpToDate: Management of acute pancreatitis</w:t>
      </w:r>
    </w:p>
    <w:p w14:paraId="01E0A485" w14:textId="4F7C7B47" w:rsidR="008048FE" w:rsidRPr="008B1A48" w:rsidRDefault="008048FE" w:rsidP="008048FE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8B1A48">
        <w:rPr>
          <w:rFonts w:ascii="Arial" w:hAnsi="Arial" w:cs="Arial"/>
          <w:sz w:val="20"/>
          <w:szCs w:val="20"/>
        </w:rPr>
        <w:t>UpToDate: Clinical manifestations, diagnosis, and natural history of acute pancreatitis</w:t>
      </w:r>
      <w:r w:rsidRPr="008B1A48">
        <w:rPr>
          <w:rFonts w:ascii="Arial" w:hAnsi="Arial" w:cs="Arial"/>
          <w:sz w:val="20"/>
          <w:szCs w:val="20"/>
        </w:rPr>
        <w:br/>
        <w:t>American College of Gastroenterology Guidelines: Management of Acute Pancreatitis</w:t>
      </w:r>
    </w:p>
    <w:p w14:paraId="757FD505" w14:textId="77777777" w:rsidR="008048FE" w:rsidRPr="008B1A48" w:rsidRDefault="008048FE" w:rsidP="008048FE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2214235D" w14:textId="77777777" w:rsidR="008048FE" w:rsidRPr="008B1A48" w:rsidRDefault="008048FE" w:rsidP="008048FE">
      <w:pPr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 w:rsidRPr="008B1A48">
        <w:rPr>
          <w:rFonts w:ascii="Arial" w:hAnsi="Arial" w:cs="Arial"/>
          <w:b/>
          <w:bCs/>
          <w:sz w:val="20"/>
          <w:szCs w:val="20"/>
        </w:rPr>
        <w:t>Optional</w:t>
      </w:r>
    </w:p>
    <w:p w14:paraId="2534FE2A" w14:textId="77777777" w:rsidR="008048FE" w:rsidRPr="008B1A48" w:rsidRDefault="008048FE" w:rsidP="008048FE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8B1A48">
        <w:rPr>
          <w:rFonts w:ascii="Arial" w:hAnsi="Arial" w:cs="Arial"/>
          <w:sz w:val="20"/>
          <w:szCs w:val="20"/>
        </w:rPr>
        <w:t>Optional: ACR appropriateness criteria acute pancreatitis</w:t>
      </w:r>
    </w:p>
    <w:p w14:paraId="7D074721" w14:textId="77777777" w:rsidR="008048FE" w:rsidRPr="008B1A48" w:rsidRDefault="008048FE" w:rsidP="008048FE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8B1A48">
        <w:rPr>
          <w:rFonts w:ascii="Arial" w:hAnsi="Arial" w:cs="Arial"/>
          <w:sz w:val="20"/>
          <w:szCs w:val="20"/>
        </w:rPr>
        <w:t>optional: ACG Guideline: Management of acute pancreatitis</w:t>
      </w:r>
    </w:p>
    <w:p w14:paraId="1B40ADD5" w14:textId="77777777" w:rsidR="008048FE" w:rsidRPr="008B1A48" w:rsidRDefault="008048FE" w:rsidP="008048FE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8B1A48">
        <w:rPr>
          <w:rFonts w:ascii="Arial" w:hAnsi="Arial" w:cs="Arial"/>
          <w:sz w:val="20"/>
          <w:szCs w:val="20"/>
        </w:rPr>
        <w:t>Optional: JAMA: Acute pancreatitis: a review</w:t>
      </w:r>
    </w:p>
    <w:p w14:paraId="0383FDD3" w14:textId="77777777" w:rsidR="008048FE" w:rsidRPr="008B1A48" w:rsidRDefault="008048FE" w:rsidP="008048FE">
      <w:pPr>
        <w:spacing w:after="0"/>
        <w:rPr>
          <w:rFonts w:ascii="Arial" w:hAnsi="Arial" w:cs="Arial"/>
          <w:sz w:val="20"/>
          <w:szCs w:val="20"/>
        </w:rPr>
      </w:pPr>
    </w:p>
    <w:p w14:paraId="4407CDAE" w14:textId="6408620C" w:rsidR="008048FE" w:rsidRPr="008B1A48" w:rsidRDefault="008048FE" w:rsidP="008048FE">
      <w:pPr>
        <w:spacing w:after="0"/>
        <w:rPr>
          <w:rFonts w:ascii="Arial" w:hAnsi="Arial" w:cs="Arial"/>
          <w:b/>
          <w:bCs/>
          <w:sz w:val="20"/>
          <w:szCs w:val="20"/>
        </w:rPr>
      </w:pPr>
      <w:r w:rsidRPr="008B1A48">
        <w:rPr>
          <w:rFonts w:ascii="Arial" w:hAnsi="Arial" w:cs="Arial"/>
          <w:b/>
          <w:bCs/>
          <w:sz w:val="20"/>
          <w:szCs w:val="20"/>
        </w:rPr>
        <w:t>Learning objectives:</w:t>
      </w:r>
    </w:p>
    <w:p w14:paraId="73F0F66F" w14:textId="77777777" w:rsidR="008048FE" w:rsidRPr="008B1A48" w:rsidRDefault="008048FE" w:rsidP="008048FE">
      <w:pPr>
        <w:spacing w:after="0"/>
        <w:rPr>
          <w:rFonts w:ascii="Arial" w:hAnsi="Arial" w:cs="Arial"/>
          <w:sz w:val="20"/>
          <w:szCs w:val="20"/>
        </w:rPr>
      </w:pPr>
      <w:r w:rsidRPr="008B1A48">
        <w:rPr>
          <w:rFonts w:ascii="Arial" w:hAnsi="Arial" w:cs="Arial"/>
          <w:sz w:val="20"/>
          <w:szCs w:val="20"/>
        </w:rPr>
        <w:t>What are the diagnostic criteria for acute pancreatitis?</w:t>
      </w:r>
    </w:p>
    <w:p w14:paraId="7E2AF030" w14:textId="77777777" w:rsidR="008048FE" w:rsidRPr="008B1A48" w:rsidRDefault="008048FE" w:rsidP="008048FE">
      <w:pPr>
        <w:spacing w:after="0"/>
        <w:rPr>
          <w:rFonts w:ascii="Arial" w:hAnsi="Arial" w:cs="Arial"/>
          <w:sz w:val="20"/>
          <w:szCs w:val="20"/>
        </w:rPr>
      </w:pPr>
      <w:r w:rsidRPr="008B1A48">
        <w:rPr>
          <w:rFonts w:ascii="Arial" w:hAnsi="Arial" w:cs="Arial"/>
          <w:sz w:val="20"/>
          <w:szCs w:val="20"/>
        </w:rPr>
        <w:t>When should imaging be used to assess acute pancreatitis?</w:t>
      </w:r>
    </w:p>
    <w:p w14:paraId="504D68FB" w14:textId="77777777" w:rsidR="008048FE" w:rsidRPr="008B1A48" w:rsidRDefault="008048FE" w:rsidP="008048FE">
      <w:pPr>
        <w:spacing w:after="0"/>
        <w:rPr>
          <w:rFonts w:ascii="Arial" w:hAnsi="Arial" w:cs="Arial"/>
          <w:sz w:val="20"/>
          <w:szCs w:val="20"/>
        </w:rPr>
      </w:pPr>
      <w:r w:rsidRPr="008B1A48">
        <w:rPr>
          <w:rFonts w:ascii="Arial" w:hAnsi="Arial" w:cs="Arial"/>
          <w:sz w:val="20"/>
          <w:szCs w:val="20"/>
        </w:rPr>
        <w:t>How to work up acute pancreatitis etiology?</w:t>
      </w:r>
    </w:p>
    <w:p w14:paraId="44C155A7" w14:textId="77777777" w:rsidR="008048FE" w:rsidRPr="008B1A48" w:rsidRDefault="008048FE" w:rsidP="008048FE">
      <w:pPr>
        <w:spacing w:after="0"/>
        <w:rPr>
          <w:rFonts w:ascii="Arial" w:hAnsi="Arial" w:cs="Arial"/>
          <w:sz w:val="20"/>
          <w:szCs w:val="20"/>
        </w:rPr>
      </w:pPr>
      <w:r w:rsidRPr="008B1A48">
        <w:rPr>
          <w:rFonts w:ascii="Arial" w:hAnsi="Arial" w:cs="Arial"/>
          <w:sz w:val="20"/>
          <w:szCs w:val="20"/>
        </w:rPr>
        <w:t>How do you classify pancreatitis based on severity?</w:t>
      </w:r>
    </w:p>
    <w:p w14:paraId="47FFB3CC" w14:textId="77777777" w:rsidR="008048FE" w:rsidRPr="008B1A48" w:rsidRDefault="008048FE" w:rsidP="008048FE">
      <w:pPr>
        <w:spacing w:after="0"/>
        <w:rPr>
          <w:rFonts w:ascii="Arial" w:hAnsi="Arial" w:cs="Arial"/>
          <w:sz w:val="20"/>
          <w:szCs w:val="20"/>
        </w:rPr>
      </w:pPr>
      <w:r w:rsidRPr="008B1A48">
        <w:rPr>
          <w:rFonts w:ascii="Arial" w:hAnsi="Arial" w:cs="Arial"/>
          <w:sz w:val="20"/>
          <w:szCs w:val="20"/>
        </w:rPr>
        <w:t>What clinical findings are associated with a severe course of acute pancreatitis?</w:t>
      </w:r>
    </w:p>
    <w:p w14:paraId="37A16191" w14:textId="77777777" w:rsidR="008048FE" w:rsidRPr="008B1A48" w:rsidRDefault="008048FE" w:rsidP="008048FE">
      <w:pPr>
        <w:spacing w:after="0"/>
        <w:rPr>
          <w:rFonts w:ascii="Arial" w:hAnsi="Arial" w:cs="Arial"/>
          <w:sz w:val="20"/>
          <w:szCs w:val="20"/>
        </w:rPr>
      </w:pPr>
      <w:r w:rsidRPr="008B1A48">
        <w:rPr>
          <w:rFonts w:ascii="Arial" w:hAnsi="Arial" w:cs="Arial"/>
          <w:sz w:val="20"/>
          <w:szCs w:val="20"/>
        </w:rPr>
        <w:t>Describe the use of IV fluids in the initial treatment of pancreatitis.</w:t>
      </w:r>
    </w:p>
    <w:p w14:paraId="4528C3F4" w14:textId="77777777" w:rsidR="008048FE" w:rsidRPr="008B1A48" w:rsidRDefault="008048FE" w:rsidP="008048FE">
      <w:pPr>
        <w:spacing w:after="0"/>
        <w:rPr>
          <w:rFonts w:ascii="Arial" w:hAnsi="Arial" w:cs="Arial"/>
          <w:sz w:val="20"/>
          <w:szCs w:val="20"/>
        </w:rPr>
      </w:pPr>
      <w:r w:rsidRPr="008B1A48">
        <w:rPr>
          <w:rFonts w:ascii="Arial" w:hAnsi="Arial" w:cs="Arial"/>
          <w:sz w:val="20"/>
          <w:szCs w:val="20"/>
        </w:rPr>
        <w:t>Describe pain control in acute pancreatitis</w:t>
      </w:r>
    </w:p>
    <w:p w14:paraId="47F23E08" w14:textId="77777777" w:rsidR="008048FE" w:rsidRPr="008B1A48" w:rsidRDefault="008048FE" w:rsidP="008048FE">
      <w:pPr>
        <w:spacing w:after="0"/>
        <w:rPr>
          <w:rFonts w:ascii="Arial" w:hAnsi="Arial" w:cs="Arial"/>
          <w:sz w:val="20"/>
          <w:szCs w:val="20"/>
        </w:rPr>
      </w:pPr>
      <w:r w:rsidRPr="008B1A48">
        <w:rPr>
          <w:rFonts w:ascii="Arial" w:hAnsi="Arial" w:cs="Arial"/>
          <w:sz w:val="20"/>
          <w:szCs w:val="20"/>
        </w:rPr>
        <w:t>Describe timing and type of nutrition in acute pancreatitis</w:t>
      </w:r>
    </w:p>
    <w:p w14:paraId="3342A34E" w14:textId="77777777" w:rsidR="008048FE" w:rsidRPr="008B1A48" w:rsidRDefault="008048FE" w:rsidP="008048FE">
      <w:pPr>
        <w:spacing w:after="0"/>
        <w:rPr>
          <w:rFonts w:ascii="Arial" w:hAnsi="Arial" w:cs="Arial"/>
          <w:sz w:val="20"/>
          <w:szCs w:val="20"/>
        </w:rPr>
      </w:pPr>
      <w:r w:rsidRPr="008B1A48">
        <w:rPr>
          <w:rFonts w:ascii="Arial" w:hAnsi="Arial" w:cs="Arial"/>
          <w:sz w:val="20"/>
          <w:szCs w:val="20"/>
        </w:rPr>
        <w:t>What are the indications for ERCP in acute pancreatitis?</w:t>
      </w:r>
    </w:p>
    <w:p w14:paraId="1E7FBE7B" w14:textId="77777777" w:rsidR="008048FE" w:rsidRPr="008B1A48" w:rsidRDefault="008048FE" w:rsidP="008048FE">
      <w:pPr>
        <w:spacing w:after="0"/>
        <w:rPr>
          <w:rFonts w:ascii="Arial" w:hAnsi="Arial" w:cs="Arial"/>
          <w:sz w:val="20"/>
          <w:szCs w:val="20"/>
        </w:rPr>
      </w:pPr>
      <w:r w:rsidRPr="008B1A48">
        <w:rPr>
          <w:rFonts w:ascii="Arial" w:hAnsi="Arial" w:cs="Arial"/>
          <w:sz w:val="20"/>
          <w:szCs w:val="20"/>
        </w:rPr>
        <w:t>Indications for EUS/MRCP prior to ERCP</w:t>
      </w:r>
    </w:p>
    <w:p w14:paraId="25BB31AD" w14:textId="77777777" w:rsidR="008048FE" w:rsidRPr="008B1A48" w:rsidRDefault="008048FE" w:rsidP="008048FE">
      <w:pPr>
        <w:spacing w:after="0"/>
        <w:rPr>
          <w:rFonts w:ascii="Arial" w:hAnsi="Arial" w:cs="Arial"/>
          <w:sz w:val="20"/>
          <w:szCs w:val="20"/>
        </w:rPr>
      </w:pPr>
      <w:r w:rsidRPr="008B1A48">
        <w:rPr>
          <w:rFonts w:ascii="Arial" w:hAnsi="Arial" w:cs="Arial"/>
          <w:sz w:val="20"/>
          <w:szCs w:val="20"/>
        </w:rPr>
        <w:t>Describe the indications for cholecystectomy in patients with gallstone pancreatitis.</w:t>
      </w:r>
    </w:p>
    <w:p w14:paraId="196D8E25" w14:textId="77777777" w:rsidR="008048FE" w:rsidRPr="008B1A48" w:rsidRDefault="008048FE" w:rsidP="008048FE">
      <w:pPr>
        <w:spacing w:after="0"/>
        <w:rPr>
          <w:rFonts w:ascii="Arial" w:hAnsi="Arial" w:cs="Arial"/>
          <w:sz w:val="20"/>
          <w:szCs w:val="20"/>
        </w:rPr>
      </w:pPr>
      <w:r w:rsidRPr="008B1A48">
        <w:rPr>
          <w:rFonts w:ascii="Arial" w:hAnsi="Arial" w:cs="Arial"/>
          <w:sz w:val="20"/>
          <w:szCs w:val="20"/>
        </w:rPr>
        <w:t>Describe the complications of pancreatitis</w:t>
      </w:r>
    </w:p>
    <w:p w14:paraId="1AF2E22F" w14:textId="77777777" w:rsidR="008048FE" w:rsidRPr="008B1A48" w:rsidRDefault="008048FE" w:rsidP="008048FE">
      <w:pPr>
        <w:spacing w:after="0"/>
        <w:rPr>
          <w:rFonts w:ascii="Arial" w:hAnsi="Arial" w:cs="Arial"/>
          <w:sz w:val="20"/>
          <w:szCs w:val="20"/>
        </w:rPr>
      </w:pPr>
      <w:r w:rsidRPr="008B1A48">
        <w:rPr>
          <w:rFonts w:ascii="Arial" w:hAnsi="Arial" w:cs="Arial"/>
          <w:sz w:val="20"/>
          <w:szCs w:val="20"/>
        </w:rPr>
        <w:t xml:space="preserve">What are the indications for abdominal imaging to </w:t>
      </w:r>
      <w:proofErr w:type="gramStart"/>
      <w:r w:rsidRPr="008B1A48">
        <w:rPr>
          <w:rFonts w:ascii="Arial" w:hAnsi="Arial" w:cs="Arial"/>
          <w:sz w:val="20"/>
          <w:szCs w:val="20"/>
        </w:rPr>
        <w:t>evaluate for</w:t>
      </w:r>
      <w:proofErr w:type="gramEnd"/>
      <w:r w:rsidRPr="008B1A48">
        <w:rPr>
          <w:rFonts w:ascii="Arial" w:hAnsi="Arial" w:cs="Arial"/>
          <w:sz w:val="20"/>
          <w:szCs w:val="20"/>
        </w:rPr>
        <w:t xml:space="preserve"> pancreatic or extra-pancreatic necrosis and local complications? </w:t>
      </w:r>
    </w:p>
    <w:p w14:paraId="72DBD626" w14:textId="77777777" w:rsidR="008048FE" w:rsidRPr="008B1A48" w:rsidRDefault="008048FE" w:rsidP="008048FE">
      <w:pPr>
        <w:spacing w:after="0"/>
        <w:rPr>
          <w:rFonts w:ascii="Arial" w:hAnsi="Arial" w:cs="Arial"/>
          <w:sz w:val="20"/>
          <w:szCs w:val="20"/>
        </w:rPr>
      </w:pPr>
      <w:r w:rsidRPr="008B1A48">
        <w:rPr>
          <w:rFonts w:ascii="Arial" w:hAnsi="Arial" w:cs="Arial"/>
          <w:sz w:val="20"/>
          <w:szCs w:val="20"/>
        </w:rPr>
        <w:t>When to suspect pancreatic necrosis to be infected? And how to treat?</w:t>
      </w:r>
    </w:p>
    <w:p w14:paraId="086B7403" w14:textId="76B36F08" w:rsidR="008048FE" w:rsidRPr="008B1A48" w:rsidRDefault="008048FE" w:rsidP="008048FE">
      <w:pPr>
        <w:spacing w:after="0"/>
        <w:rPr>
          <w:rFonts w:ascii="Arial" w:hAnsi="Arial" w:cs="Arial"/>
          <w:sz w:val="20"/>
          <w:szCs w:val="20"/>
        </w:rPr>
      </w:pPr>
      <w:r w:rsidRPr="008B1A48">
        <w:rPr>
          <w:rFonts w:ascii="Arial" w:hAnsi="Arial" w:cs="Arial"/>
          <w:sz w:val="20"/>
          <w:szCs w:val="20"/>
        </w:rPr>
        <w:t>When to upgrade to ICU?</w:t>
      </w:r>
    </w:p>
    <w:sectPr w:rsidR="008048FE" w:rsidRPr="008B1A4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48FE"/>
    <w:rsid w:val="000105F6"/>
    <w:rsid w:val="000B0F81"/>
    <w:rsid w:val="005F4D7C"/>
    <w:rsid w:val="00711556"/>
    <w:rsid w:val="007C3A96"/>
    <w:rsid w:val="008048FE"/>
    <w:rsid w:val="008073F3"/>
    <w:rsid w:val="00813E1E"/>
    <w:rsid w:val="008B1A48"/>
    <w:rsid w:val="009C3C2D"/>
    <w:rsid w:val="00B0795B"/>
    <w:rsid w:val="00D27C9D"/>
    <w:rsid w:val="00E16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2B028D"/>
  <w15:chartTrackingRefBased/>
  <w15:docId w15:val="{AD09BCF5-0AD1-4A72-86C5-69BF0136A4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048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048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048F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048F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048F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048F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048F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048F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048F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048F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048F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048F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048F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048F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048F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048F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048F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048F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048F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048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048F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048F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048F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048F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048F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048F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48F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48F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048F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8048FE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4e77fabd-40e5-4335-9d12-298222ec242f}" enabled="1" method="Standard" siteId="{adeadcd2-3aaf-4835-b273-1ebe8a7726f1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307</Words>
  <Characters>1752</Characters>
  <Application>Microsoft Office Word</Application>
  <DocSecurity>0</DocSecurity>
  <Lines>14</Lines>
  <Paragraphs>4</Paragraphs>
  <ScaleCrop>false</ScaleCrop>
  <Company/>
  <LinksUpToDate>false</LinksUpToDate>
  <CharactersWithSpaces>2055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Salam Mohammed arif</dc:creator>
  <cp:keywords/>
  <dc:description/>
  <cp:lastModifiedBy>Mohammed Arif, Salam</cp:lastModifiedBy>
  <cp:revision>6</cp:revision>
  <dcterms:created xsi:type="dcterms:W3CDTF">2025-08-05T18:43:00Z</dcterms:created>
  <dcterms:modified xsi:type="dcterms:W3CDTF">2026-08-18T00:31:00Z</dcterms:modified>
</cp:coreProperties>
</file>