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7478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>January 21</w:t>
      </w:r>
      <w:r w:rsidRPr="004505C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"/>
        </w:rPr>
        <w:t>st</w:t>
      </w: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Objectives</w:t>
      </w:r>
      <w:bookmarkStart w:id="0" w:name="_GoBack"/>
      <w:bookmarkEnd w:id="0"/>
    </w:p>
    <w:p w14:paraId="3A5CD984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17116017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>9:40 - 10:25 – Hypertension, Dr. Dahl</w:t>
      </w:r>
    </w:p>
    <w:p w14:paraId="10A0229B" w14:textId="77777777" w:rsidR="00070DC1" w:rsidRPr="004505C3" w:rsidRDefault="00070DC1" w:rsidP="00070D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hAnsi="Arial" w:cs="Arial"/>
          <w:sz w:val="20"/>
          <w:szCs w:val="20"/>
        </w:rPr>
        <w:t>Define normal blood pressure, pre-hypertension, stage 1 and stage 2 hypertension. Describe the end-organ injuries that occur due to long-standing hypertension.</w:t>
      </w:r>
    </w:p>
    <w:p w14:paraId="6A5C5C63" w14:textId="77777777" w:rsidR="00070DC1" w:rsidRPr="004505C3" w:rsidRDefault="00070DC1" w:rsidP="00070D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hAnsi="Arial" w:cs="Arial"/>
          <w:sz w:val="20"/>
          <w:szCs w:val="20"/>
        </w:rPr>
        <w:t>Describe the patient(s) who should be evaluated for secondary causes of hypertension and the preferred diagnostic strategy for each identifiable cause.</w:t>
      </w:r>
    </w:p>
    <w:p w14:paraId="74513820" w14:textId="77777777" w:rsidR="00070DC1" w:rsidRPr="004505C3" w:rsidRDefault="00070DC1" w:rsidP="00070D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Identify the medications which are first-line anti-hypertensives for non-black patients and black patients </w:t>
      </w:r>
      <w:r w:rsidRPr="004505C3">
        <w:rPr>
          <w:rFonts w:ascii="Arial" w:hAnsi="Arial" w:cs="Arial"/>
          <w:i/>
          <w:color w:val="000000"/>
          <w:sz w:val="20"/>
          <w:szCs w:val="20"/>
        </w:rPr>
        <w:t>without</w:t>
      </w:r>
      <w:r w:rsidRPr="004505C3">
        <w:rPr>
          <w:rFonts w:ascii="Arial" w:hAnsi="Arial" w:cs="Arial"/>
          <w:color w:val="000000"/>
          <w:sz w:val="20"/>
          <w:szCs w:val="20"/>
        </w:rPr>
        <w:t xml:space="preserve"> DM and CKD and </w:t>
      </w:r>
      <w:r w:rsidRPr="004505C3">
        <w:rPr>
          <w:rFonts w:ascii="Arial" w:hAnsi="Arial" w:cs="Arial"/>
          <w:i/>
          <w:color w:val="000000"/>
          <w:sz w:val="20"/>
          <w:szCs w:val="20"/>
        </w:rPr>
        <w:t>with</w:t>
      </w:r>
      <w:r w:rsidRPr="004505C3">
        <w:rPr>
          <w:rFonts w:ascii="Arial" w:hAnsi="Arial" w:cs="Arial"/>
          <w:color w:val="000000"/>
          <w:sz w:val="20"/>
          <w:szCs w:val="20"/>
        </w:rPr>
        <w:t xml:space="preserve"> DM and CKD.</w:t>
      </w:r>
    </w:p>
    <w:p w14:paraId="6AE30E9F" w14:textId="77777777" w:rsidR="00070DC1" w:rsidRPr="004505C3" w:rsidRDefault="00070DC1" w:rsidP="00070D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Identify the BP targets for patients aged ≥ 60 years old, &lt; 60 years old, patients with chronic kidney disease and patients with diabetes.   </w:t>
      </w:r>
    </w:p>
    <w:p w14:paraId="23B4D24A" w14:textId="77777777" w:rsidR="00070DC1" w:rsidRPr="004505C3" w:rsidRDefault="00070DC1" w:rsidP="00070D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Define hypertensive urgency and emergency and the indications for admission to the hospital and ICU treatments. </w:t>
      </w:r>
    </w:p>
    <w:p w14:paraId="6AF42358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2FCC53B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>10:25 – 11:10 – CKD, Dr. Dahl</w:t>
      </w:r>
    </w:p>
    <w:p w14:paraId="26272F65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Define chronic kidney disease. Define the 5 stages of CKD according to the National Kidney Foundation, and define the KDIGO staging system for CKD based on albuminuria and GFR.</w:t>
      </w:r>
    </w:p>
    <w:p w14:paraId="4851E9B1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 xml:space="preserve">When should a patient with CKD be referred to a nephrologist? Explain the reasons for this.  </w:t>
      </w:r>
    </w:p>
    <w:p w14:paraId="097F0764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Describe some of the diseases of other organ systems associated with CKD. What is the most common cause of death in patients with CKD?</w:t>
      </w:r>
    </w:p>
    <w:p w14:paraId="694B43DE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Know the medications that CKD patients should avoid to prevent worsening of renal function.</w:t>
      </w:r>
    </w:p>
    <w:p w14:paraId="077792DD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Know the indication for ACEI and ARB medications for the treatment of proteinuria and blood pressure goals for patients with CKD.</w:t>
      </w:r>
    </w:p>
    <w:p w14:paraId="1149DB64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Understand the risks of hyperphosphatemia, its management, and goal levels in patients with CKD.</w:t>
      </w:r>
    </w:p>
    <w:p w14:paraId="59723A28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Describe the KDIGO guidelines for goal transferrin saturation, ferritin level, and hemoglobin in patients with CKD.</w:t>
      </w:r>
    </w:p>
    <w:p w14:paraId="0E2DFE88" w14:textId="77777777" w:rsidR="00070DC1" w:rsidRPr="004505C3" w:rsidRDefault="00070DC1" w:rsidP="00070D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What is the goal serum bicarbonate level in CKD patients?</w:t>
      </w:r>
    </w:p>
    <w:p w14:paraId="158A4D66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75C7F90D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13AA4E01" w14:textId="77777777" w:rsidR="00070DC1" w:rsidRPr="004505C3" w:rsidRDefault="00070DC1" w:rsidP="0007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>11:30 – 12:15 – Hyponatremia, Dr. Khurana</w:t>
      </w:r>
    </w:p>
    <w:p w14:paraId="077F2D98" w14:textId="77777777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Define hyponatremia (mild, moderate, and severe), and specifically the time frame of acute versus chronic hyponatremia.</w:t>
      </w:r>
    </w:p>
    <w:p w14:paraId="3504E0A8" w14:textId="77777777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Describe the signs and symptoms of hyponatremia from subtle to severe.</w:t>
      </w:r>
    </w:p>
    <w:p w14:paraId="172B6EF7" w14:textId="77777777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 xml:space="preserve">Describe the initial management of a patient with severe, symptomatic hyponatremia. </w:t>
      </w:r>
    </w:p>
    <w:p w14:paraId="784CBCB7" w14:textId="77777777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Give the differential diagnosis for the following:</w:t>
      </w:r>
    </w:p>
    <w:p w14:paraId="32F0A128" w14:textId="77777777" w:rsidR="00070DC1" w:rsidRPr="004505C3" w:rsidRDefault="00070DC1" w:rsidP="00070D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Hypertonic hyponatremia</w:t>
      </w:r>
    </w:p>
    <w:p w14:paraId="54634BEE" w14:textId="77777777" w:rsidR="00070DC1" w:rsidRPr="004505C3" w:rsidRDefault="00070DC1" w:rsidP="00070D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Isotonic hyponatremia</w:t>
      </w:r>
    </w:p>
    <w:p w14:paraId="0064BF7C" w14:textId="77777777" w:rsidR="00070DC1" w:rsidRPr="004505C3" w:rsidRDefault="00070DC1" w:rsidP="00070D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Hypotonic hyponatremia (What is the serum osmolality threshold for this?)</w:t>
      </w:r>
    </w:p>
    <w:p w14:paraId="3412993E" w14:textId="77777777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What is the first step in determining the etiology of a HYPOTONIC hyponatremia?</w:t>
      </w:r>
    </w:p>
    <w:p w14:paraId="3F4A7AD0" w14:textId="1DE2E3BF" w:rsidR="00070DC1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Describe the urine studies and lab findings (urine osmolality and/or urine sodium) that can help distinguish between the different causes of HYPOTONIC hyponatremia. Know the management of each of these diagnoses.</w:t>
      </w:r>
    </w:p>
    <w:p w14:paraId="4B3EB08A" w14:textId="59654A5E" w:rsidR="001E0D46" w:rsidRPr="004505C3" w:rsidRDefault="00070DC1" w:rsidP="00070D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eastAsia="Times New Roman" w:hAnsi="Arial" w:cs="Arial"/>
          <w:sz w:val="20"/>
          <w:szCs w:val="20"/>
        </w:rPr>
        <w:t>Describe how to determine the free water deficit in a patient with hypernatremia and how to manage the patient to avoid osmotic demyelination.</w:t>
      </w:r>
    </w:p>
    <w:sectPr w:rsidR="001E0D46" w:rsidRPr="0045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82C"/>
    <w:multiLevelType w:val="hybridMultilevel"/>
    <w:tmpl w:val="745C664E"/>
    <w:lvl w:ilvl="0" w:tplc="16121A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40"/>
    <w:multiLevelType w:val="hybridMultilevel"/>
    <w:tmpl w:val="E304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E48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C1"/>
    <w:rsid w:val="00070DC1"/>
    <w:rsid w:val="001E0D46"/>
    <w:rsid w:val="004505C3"/>
    <w:rsid w:val="005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EF4B"/>
  <w15:chartTrackingRefBased/>
  <w15:docId w15:val="{7F7B5C7C-F9E7-42FA-A44F-A18E440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C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2019-12-24T01:38:00Z</dcterms:created>
  <dcterms:modified xsi:type="dcterms:W3CDTF">2019-12-24T05:32:00Z</dcterms:modified>
</cp:coreProperties>
</file>