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4205C" w14:textId="3478847D"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MKSAP 7/21/2026</w:t>
      </w:r>
    </w:p>
    <w:p w14:paraId="088C2055" w14:textId="622DF444"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 xml:space="preserve">1. A 28-year-old man is evaluated in the hospital for worsening fatigue and decreased urine output 24 hours after starting treatment with </w:t>
      </w:r>
      <w:proofErr w:type="spellStart"/>
      <w:r w:rsidRPr="00BD381A">
        <w:rPr>
          <w:rFonts w:ascii="Calibri" w:eastAsia="Times New Roman" w:hAnsi="Calibri" w:cs="Calibri"/>
          <w:kern w:val="0"/>
          <w:sz w:val="22"/>
          <w:szCs w:val="22"/>
          <w14:ligatures w14:val="none"/>
        </w:rPr>
        <w:t>pola</w:t>
      </w:r>
      <w:proofErr w:type="spellEnd"/>
      <w:r w:rsidRPr="00BD381A">
        <w:rPr>
          <w:rFonts w:ascii="Calibri" w:eastAsia="Times New Roman" w:hAnsi="Calibri" w:cs="Calibri"/>
          <w:kern w:val="0"/>
          <w:sz w:val="22"/>
          <w:szCs w:val="22"/>
          <w14:ligatures w14:val="none"/>
        </w:rPr>
        <w:t>-R-CHP (</w:t>
      </w:r>
      <w:proofErr w:type="spellStart"/>
      <w:r w:rsidRPr="00BD381A">
        <w:rPr>
          <w:rFonts w:ascii="Calibri" w:eastAsia="Times New Roman" w:hAnsi="Calibri" w:cs="Calibri"/>
          <w:kern w:val="0"/>
          <w:sz w:val="22"/>
          <w:szCs w:val="22"/>
          <w14:ligatures w14:val="none"/>
        </w:rPr>
        <w:t>polatuzumab</w:t>
      </w:r>
      <w:proofErr w:type="spellEnd"/>
      <w:r w:rsidRPr="00BD381A">
        <w:rPr>
          <w:rFonts w:ascii="Calibri" w:eastAsia="Times New Roman" w:hAnsi="Calibri" w:cs="Calibri"/>
          <w:kern w:val="0"/>
          <w:sz w:val="22"/>
          <w:szCs w:val="22"/>
          <w14:ligatures w14:val="none"/>
        </w:rPr>
        <w:t>-vedotin, rituximab, cyclophosphamide, doxorubicin, and prednisone). He was recently diagnosed with diffuse large B-cell lymphoma after presenting with an unintentional 10.9-kg (24-lb) weight loss, intermittent fevers, night sweats, and lymphadenopathy. Allopurinol was initiated with chemotherapy. He is also receiving aggressive hydration with intravenous 0.9% saline. He has no other medical problems and takes no chronic medications.</w:t>
      </w:r>
    </w:p>
    <w:p w14:paraId="02C107AB"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On physical examination, vital signs are normal. Enlarged lymph nodes are present bilaterally in the axillary, inguinal, and cervical regions.</w:t>
      </w:r>
    </w:p>
    <w:tbl>
      <w:tblPr>
        <w:tblW w:w="11520" w:type="dxa"/>
        <w:tblCellMar>
          <w:top w:w="15" w:type="dxa"/>
          <w:left w:w="15" w:type="dxa"/>
          <w:bottom w:w="15" w:type="dxa"/>
          <w:right w:w="15" w:type="dxa"/>
        </w:tblCellMar>
        <w:tblLook w:val="04A0" w:firstRow="1" w:lastRow="0" w:firstColumn="1" w:lastColumn="0" w:noHBand="0" w:noVBand="1"/>
      </w:tblPr>
      <w:tblGrid>
        <w:gridCol w:w="3517"/>
        <w:gridCol w:w="7460"/>
        <w:gridCol w:w="543"/>
      </w:tblGrid>
      <w:tr w:rsidR="00BD381A" w:rsidRPr="00BD381A" w14:paraId="0B7A9803" w14:textId="77777777">
        <w:tc>
          <w:tcPr>
            <w:tcW w:w="0" w:type="auto"/>
            <w:gridSpan w:val="3"/>
            <w:tcBorders>
              <w:top w:val="nil"/>
              <w:left w:val="nil"/>
              <w:bottom w:val="nil"/>
              <w:right w:val="nil"/>
            </w:tcBorders>
            <w:vAlign w:val="center"/>
            <w:hideMark/>
          </w:tcPr>
          <w:p w14:paraId="424FD3BB"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Laboratory studies:</w:t>
            </w:r>
          </w:p>
        </w:tc>
      </w:tr>
      <w:tr w:rsidR="00BD381A" w:rsidRPr="00BD381A" w14:paraId="005BAD78" w14:textId="77777777">
        <w:tc>
          <w:tcPr>
            <w:tcW w:w="0" w:type="auto"/>
            <w:tcBorders>
              <w:left w:val="nil"/>
              <w:right w:val="nil"/>
            </w:tcBorders>
            <w:hideMark/>
          </w:tcPr>
          <w:p w14:paraId="792664DB"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Calcium</w:t>
            </w:r>
          </w:p>
        </w:tc>
        <w:tc>
          <w:tcPr>
            <w:tcW w:w="0" w:type="auto"/>
            <w:tcBorders>
              <w:right w:val="nil"/>
            </w:tcBorders>
            <w:hideMark/>
          </w:tcPr>
          <w:p w14:paraId="50F8277C"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7.1 mg/dL (1.8 mmol/L)</w:t>
            </w:r>
          </w:p>
        </w:tc>
        <w:tc>
          <w:tcPr>
            <w:tcW w:w="0" w:type="auto"/>
            <w:tcBorders>
              <w:left w:val="nil"/>
              <w:right w:val="nil"/>
            </w:tcBorders>
            <w:hideMark/>
          </w:tcPr>
          <w:p w14:paraId="5B0F9889"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L</w:t>
            </w:r>
          </w:p>
        </w:tc>
      </w:tr>
      <w:tr w:rsidR="00BD381A" w:rsidRPr="00BD381A" w14:paraId="46115303" w14:textId="77777777">
        <w:tc>
          <w:tcPr>
            <w:tcW w:w="0" w:type="auto"/>
            <w:tcBorders>
              <w:left w:val="nil"/>
              <w:right w:val="nil"/>
            </w:tcBorders>
            <w:hideMark/>
          </w:tcPr>
          <w:p w14:paraId="581A8512"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Creatinine</w:t>
            </w:r>
          </w:p>
        </w:tc>
        <w:tc>
          <w:tcPr>
            <w:tcW w:w="0" w:type="auto"/>
            <w:tcBorders>
              <w:right w:val="nil"/>
            </w:tcBorders>
            <w:hideMark/>
          </w:tcPr>
          <w:p w14:paraId="0C6FF164"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2.1 mg/dL (185.6 µmol/L)</w:t>
            </w:r>
          </w:p>
        </w:tc>
        <w:tc>
          <w:tcPr>
            <w:tcW w:w="0" w:type="auto"/>
            <w:tcBorders>
              <w:left w:val="nil"/>
              <w:right w:val="nil"/>
            </w:tcBorders>
            <w:hideMark/>
          </w:tcPr>
          <w:p w14:paraId="3D8C2FC4"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H</w:t>
            </w:r>
          </w:p>
        </w:tc>
      </w:tr>
      <w:tr w:rsidR="00BD381A" w:rsidRPr="00BD381A" w14:paraId="415A0DFF" w14:textId="77777777">
        <w:tc>
          <w:tcPr>
            <w:tcW w:w="0" w:type="auto"/>
            <w:tcBorders>
              <w:left w:val="nil"/>
              <w:right w:val="nil"/>
            </w:tcBorders>
            <w:hideMark/>
          </w:tcPr>
          <w:p w14:paraId="21AA67A5"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Baseline</w:t>
            </w:r>
          </w:p>
        </w:tc>
        <w:tc>
          <w:tcPr>
            <w:tcW w:w="0" w:type="auto"/>
            <w:tcBorders>
              <w:right w:val="nil"/>
            </w:tcBorders>
            <w:hideMark/>
          </w:tcPr>
          <w:p w14:paraId="2156D858"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0.8 mg/dL (70.7 µmol/L)</w:t>
            </w:r>
          </w:p>
        </w:tc>
        <w:tc>
          <w:tcPr>
            <w:tcW w:w="0" w:type="auto"/>
            <w:tcBorders>
              <w:left w:val="nil"/>
              <w:right w:val="nil"/>
            </w:tcBorders>
            <w:hideMark/>
          </w:tcPr>
          <w:p w14:paraId="1BB672AD"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p>
        </w:tc>
      </w:tr>
      <w:tr w:rsidR="00BD381A" w:rsidRPr="00BD381A" w14:paraId="35A75A8B" w14:textId="77777777">
        <w:tc>
          <w:tcPr>
            <w:tcW w:w="0" w:type="auto"/>
            <w:tcBorders>
              <w:left w:val="nil"/>
              <w:right w:val="nil"/>
            </w:tcBorders>
            <w:hideMark/>
          </w:tcPr>
          <w:p w14:paraId="36D7BD7D"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Potassium</w:t>
            </w:r>
          </w:p>
        </w:tc>
        <w:tc>
          <w:tcPr>
            <w:tcW w:w="0" w:type="auto"/>
            <w:tcBorders>
              <w:right w:val="nil"/>
            </w:tcBorders>
            <w:hideMark/>
          </w:tcPr>
          <w:p w14:paraId="0D8D33B0"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 xml:space="preserve">5.5 </w:t>
            </w:r>
            <w:proofErr w:type="spellStart"/>
            <w:r w:rsidRPr="00BD381A">
              <w:rPr>
                <w:rFonts w:ascii="Calibri" w:eastAsia="Times New Roman" w:hAnsi="Calibri" w:cs="Calibri"/>
                <w:kern w:val="0"/>
                <w:sz w:val="22"/>
                <w:szCs w:val="22"/>
                <w14:ligatures w14:val="none"/>
              </w:rPr>
              <w:t>mEq</w:t>
            </w:r>
            <w:proofErr w:type="spellEnd"/>
            <w:r w:rsidRPr="00BD381A">
              <w:rPr>
                <w:rFonts w:ascii="Calibri" w:eastAsia="Times New Roman" w:hAnsi="Calibri" w:cs="Calibri"/>
                <w:kern w:val="0"/>
                <w:sz w:val="22"/>
                <w:szCs w:val="22"/>
                <w14:ligatures w14:val="none"/>
              </w:rPr>
              <w:t>/L (5.5 mmol/L)</w:t>
            </w:r>
          </w:p>
        </w:tc>
        <w:tc>
          <w:tcPr>
            <w:tcW w:w="0" w:type="auto"/>
            <w:tcBorders>
              <w:left w:val="nil"/>
              <w:right w:val="nil"/>
            </w:tcBorders>
            <w:hideMark/>
          </w:tcPr>
          <w:p w14:paraId="7D04A127"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H</w:t>
            </w:r>
          </w:p>
        </w:tc>
      </w:tr>
      <w:tr w:rsidR="00BD381A" w:rsidRPr="00BD381A" w14:paraId="4E0446B7" w14:textId="77777777">
        <w:tc>
          <w:tcPr>
            <w:tcW w:w="0" w:type="auto"/>
            <w:tcBorders>
              <w:left w:val="nil"/>
              <w:right w:val="nil"/>
            </w:tcBorders>
            <w:hideMark/>
          </w:tcPr>
          <w:p w14:paraId="70494642"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Phosphorus</w:t>
            </w:r>
          </w:p>
        </w:tc>
        <w:tc>
          <w:tcPr>
            <w:tcW w:w="0" w:type="auto"/>
            <w:tcBorders>
              <w:right w:val="nil"/>
            </w:tcBorders>
            <w:hideMark/>
          </w:tcPr>
          <w:p w14:paraId="461941EB"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6.8 mg/dL (2.2 mmol/L)</w:t>
            </w:r>
          </w:p>
        </w:tc>
        <w:tc>
          <w:tcPr>
            <w:tcW w:w="0" w:type="auto"/>
            <w:tcBorders>
              <w:left w:val="nil"/>
              <w:right w:val="nil"/>
            </w:tcBorders>
            <w:hideMark/>
          </w:tcPr>
          <w:p w14:paraId="5202BC72"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H</w:t>
            </w:r>
          </w:p>
        </w:tc>
      </w:tr>
      <w:tr w:rsidR="00BD381A" w:rsidRPr="00BD381A" w14:paraId="1C608D39" w14:textId="77777777">
        <w:tc>
          <w:tcPr>
            <w:tcW w:w="0" w:type="auto"/>
            <w:tcBorders>
              <w:left w:val="nil"/>
              <w:right w:val="nil"/>
            </w:tcBorders>
            <w:hideMark/>
          </w:tcPr>
          <w:p w14:paraId="1519CA80"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Urate</w:t>
            </w:r>
          </w:p>
        </w:tc>
        <w:tc>
          <w:tcPr>
            <w:tcW w:w="0" w:type="auto"/>
            <w:tcBorders>
              <w:right w:val="nil"/>
            </w:tcBorders>
            <w:hideMark/>
          </w:tcPr>
          <w:p w14:paraId="26BEF767" w14:textId="77777777" w:rsid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12.5 mg/dL (0.7 mmol/L)</w:t>
            </w:r>
          </w:p>
          <w:p w14:paraId="48210F04" w14:textId="77777777" w:rsidR="003C191C" w:rsidRPr="00BD381A" w:rsidRDefault="003C191C" w:rsidP="00BD381A">
            <w:pPr>
              <w:spacing w:after="0" w:line="240" w:lineRule="auto"/>
              <w:rPr>
                <w:rFonts w:ascii="Calibri" w:eastAsia="Times New Roman" w:hAnsi="Calibri" w:cs="Calibri"/>
                <w:kern w:val="0"/>
                <w:sz w:val="22"/>
                <w:szCs w:val="22"/>
                <w14:ligatures w14:val="none"/>
              </w:rPr>
            </w:pPr>
          </w:p>
          <w:p w14:paraId="197A592F"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p>
        </w:tc>
        <w:tc>
          <w:tcPr>
            <w:tcW w:w="0" w:type="auto"/>
            <w:tcBorders>
              <w:left w:val="nil"/>
              <w:right w:val="nil"/>
            </w:tcBorders>
            <w:hideMark/>
          </w:tcPr>
          <w:p w14:paraId="05BC1AE6"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H</w:t>
            </w:r>
          </w:p>
        </w:tc>
      </w:tr>
    </w:tbl>
    <w:p w14:paraId="3F1688DE" w14:textId="77777777" w:rsidR="00BD381A" w:rsidRPr="00BD381A" w:rsidRDefault="00BD381A" w:rsidP="00BD381A">
      <w:pPr>
        <w:pBdr>
          <w:bottom w:val="single" w:sz="6" w:space="1" w:color="auto"/>
        </w:pBdr>
        <w:spacing w:after="0" w:line="240" w:lineRule="auto"/>
        <w:jc w:val="center"/>
        <w:rPr>
          <w:rFonts w:ascii="Calibri" w:eastAsia="Times New Roman" w:hAnsi="Calibri" w:cs="Calibri"/>
          <w:vanish/>
          <w:kern w:val="0"/>
          <w:sz w:val="22"/>
          <w:szCs w:val="22"/>
          <w14:ligatures w14:val="none"/>
        </w:rPr>
      </w:pPr>
      <w:r w:rsidRPr="00BD381A">
        <w:rPr>
          <w:rFonts w:ascii="Calibri" w:eastAsia="Times New Roman" w:hAnsi="Calibri" w:cs="Calibri"/>
          <w:vanish/>
          <w:kern w:val="0"/>
          <w:sz w:val="22"/>
          <w:szCs w:val="22"/>
          <w14:ligatures w14:val="none"/>
        </w:rPr>
        <w:t>Top of Form</w:t>
      </w:r>
    </w:p>
    <w:p w14:paraId="5E8D7939" w14:textId="77777777" w:rsidR="00BD381A" w:rsidRPr="00BD381A" w:rsidRDefault="00BD381A" w:rsidP="00BD381A">
      <w:pPr>
        <w:spacing w:after="100" w:afterAutospacing="1"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14:ligatures w14:val="none"/>
        </w:rPr>
        <w:t>Which of the following is the most appropriate treatment?</w:t>
      </w:r>
    </w:p>
    <w:p w14:paraId="18D13760" w14:textId="2E715A1A" w:rsidR="00BD381A" w:rsidRPr="00BD381A" w:rsidRDefault="00BD381A" w:rsidP="00BD381A">
      <w:pPr>
        <w:spacing w:after="0" w:line="240" w:lineRule="auto"/>
        <w:rPr>
          <w:rFonts w:ascii="Calibri" w:eastAsia="Times New Roman" w:hAnsi="Calibri" w:cs="Calibri"/>
          <w:color w:val="181D23"/>
          <w:kern w:val="0"/>
          <w:sz w:val="22"/>
          <w:szCs w:val="22"/>
          <w:bdr w:val="none" w:sz="0" w:space="0" w:color="auto" w:frame="1"/>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A. </w:t>
      </w:r>
      <w:r w:rsidRPr="00BD381A">
        <w:rPr>
          <w:rFonts w:ascii="Calibri" w:eastAsia="Times New Roman" w:hAnsi="Calibri" w:cs="Calibri"/>
          <w:color w:val="181D23"/>
          <w:kern w:val="0"/>
          <w:sz w:val="22"/>
          <w:szCs w:val="22"/>
          <w14:ligatures w14:val="none"/>
        </w:rPr>
        <w:t>Administer sodium bicarbonate</w:t>
      </w:r>
    </w:p>
    <w:p w14:paraId="25B91938" w14:textId="59C9F2EC"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B. </w:t>
      </w:r>
      <w:r w:rsidRPr="00BD381A">
        <w:rPr>
          <w:rFonts w:ascii="Calibri" w:eastAsia="Times New Roman" w:hAnsi="Calibri" w:cs="Calibri"/>
          <w:color w:val="181D23"/>
          <w:kern w:val="0"/>
          <w:sz w:val="22"/>
          <w:szCs w:val="22"/>
          <w14:ligatures w14:val="none"/>
        </w:rPr>
        <w:t>Initiate hemodialysis immediately</w:t>
      </w:r>
    </w:p>
    <w:p w14:paraId="1FFCB898" w14:textId="32703FA8"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C. </w:t>
      </w:r>
      <w:r w:rsidRPr="00BD381A">
        <w:rPr>
          <w:rFonts w:ascii="Calibri" w:eastAsia="Times New Roman" w:hAnsi="Calibri" w:cs="Calibri"/>
          <w:color w:val="181D23"/>
          <w:kern w:val="0"/>
          <w:sz w:val="22"/>
          <w:szCs w:val="22"/>
          <w14:ligatures w14:val="none"/>
        </w:rPr>
        <w:t>Observe and repeat laboratory testing in 6 hours</w:t>
      </w:r>
      <w:r w:rsidRPr="00BD381A">
        <w:rPr>
          <w:rFonts w:ascii="Calibri" w:eastAsia="Times New Roman" w:hAnsi="Calibri" w:cs="Calibri"/>
          <w:color w:val="181D23"/>
          <w:kern w:val="0"/>
          <w:sz w:val="22"/>
          <w:szCs w:val="22"/>
          <w:bdr w:val="none" w:sz="0" w:space="0" w:color="auto" w:frame="1"/>
          <w14:ligatures w14:val="none"/>
        </w:rPr>
        <w:t>  </w:t>
      </w:r>
    </w:p>
    <w:p w14:paraId="227BD708" w14:textId="4430F184" w:rsidR="00AC0FC6"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D. </w:t>
      </w:r>
      <w:r w:rsidRPr="00BD381A">
        <w:rPr>
          <w:rFonts w:ascii="Calibri" w:eastAsia="Times New Roman" w:hAnsi="Calibri" w:cs="Calibri"/>
          <w:color w:val="181D23"/>
          <w:kern w:val="0"/>
          <w:sz w:val="22"/>
          <w:szCs w:val="22"/>
          <w14:ligatures w14:val="none"/>
        </w:rPr>
        <w:t xml:space="preserve">Start </w:t>
      </w:r>
      <w:proofErr w:type="spellStart"/>
      <w:r w:rsidRPr="00BD381A">
        <w:rPr>
          <w:rFonts w:ascii="Calibri" w:eastAsia="Times New Roman" w:hAnsi="Calibri" w:cs="Calibri"/>
          <w:color w:val="181D23"/>
          <w:kern w:val="0"/>
          <w:sz w:val="22"/>
          <w:szCs w:val="22"/>
          <w14:ligatures w14:val="none"/>
        </w:rPr>
        <w:t>rasburicase</w:t>
      </w:r>
      <w:proofErr w:type="spellEnd"/>
      <w:r w:rsidRPr="00BD381A">
        <w:rPr>
          <w:rFonts w:ascii="Calibri" w:eastAsia="Times New Roman" w:hAnsi="Calibri" w:cs="Calibri"/>
          <w:vanish/>
          <w:kern w:val="0"/>
          <w:sz w:val="22"/>
          <w:szCs w:val="22"/>
          <w14:ligatures w14:val="none"/>
        </w:rPr>
        <w:t>Bottom of Form</w:t>
      </w:r>
    </w:p>
    <w:p w14:paraId="4A2EC8F1" w14:textId="77777777"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p>
    <w:p w14:paraId="60C6DFDD" w14:textId="56482EC3"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2. A 62-year-old patient is evaluated in the emergency department for a 1-week history of dyspnea on exertion and facial edema. They also report a 7-kg (15-lb) unintentional weight loss and cough over the past 3 months. They have a 32-pack-year history of smoking. The patient otherwise has no medical problems and takes no medications.</w:t>
      </w:r>
    </w:p>
    <w:p w14:paraId="488719B2"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On physical examination, blood pressure is 120/80 mm Hg, pulse rate is 86/min, and respiration rate is 19/min. Oxygen saturation is 98% with the patient breathing ambient air. BMI is 19. Facial fullness, distended neck veins, and mild bilateral upper extremity edema are noted. There is no lower extremity edema. No stridor or respiratory distress is noted.</w:t>
      </w:r>
    </w:p>
    <w:p w14:paraId="01F19789"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Laboratory study results are normal.</w:t>
      </w:r>
    </w:p>
    <w:p w14:paraId="2C4F1C64"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Contrast-enhanced CT scan of the chest reveals a central lung mass with a large mediastinal mass impinging upon the superior vena cava. No thrombus is present.</w:t>
      </w:r>
    </w:p>
    <w:p w14:paraId="7200F5F4" w14:textId="77777777" w:rsidR="00BD381A" w:rsidRPr="00BD381A" w:rsidRDefault="00BD381A" w:rsidP="00BD381A">
      <w:pPr>
        <w:pBdr>
          <w:bottom w:val="single" w:sz="6" w:space="1" w:color="auto"/>
        </w:pBdr>
        <w:spacing w:after="0" w:line="240" w:lineRule="auto"/>
        <w:jc w:val="center"/>
        <w:rPr>
          <w:rFonts w:ascii="Calibri" w:eastAsia="Times New Roman" w:hAnsi="Calibri" w:cs="Calibri"/>
          <w:vanish/>
          <w:kern w:val="0"/>
          <w:sz w:val="22"/>
          <w:szCs w:val="22"/>
          <w14:ligatures w14:val="none"/>
        </w:rPr>
      </w:pPr>
      <w:r w:rsidRPr="00BD381A">
        <w:rPr>
          <w:rFonts w:ascii="Calibri" w:eastAsia="Times New Roman" w:hAnsi="Calibri" w:cs="Calibri"/>
          <w:vanish/>
          <w:kern w:val="0"/>
          <w:sz w:val="22"/>
          <w:szCs w:val="22"/>
          <w14:ligatures w14:val="none"/>
        </w:rPr>
        <w:t>Top of Form</w:t>
      </w:r>
    </w:p>
    <w:p w14:paraId="29E88961" w14:textId="77777777" w:rsidR="00BD381A" w:rsidRPr="00BD381A" w:rsidRDefault="00BD381A" w:rsidP="00BD381A">
      <w:pPr>
        <w:spacing w:after="100" w:afterAutospacing="1"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14:ligatures w14:val="none"/>
        </w:rPr>
        <w:t>Which of the following is the most appropriate management?</w:t>
      </w:r>
    </w:p>
    <w:p w14:paraId="63E23758" w14:textId="6E00DECD"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A. </w:t>
      </w:r>
      <w:r w:rsidRPr="00BD381A">
        <w:rPr>
          <w:rFonts w:ascii="Calibri" w:eastAsia="Times New Roman" w:hAnsi="Calibri" w:cs="Calibri"/>
          <w:color w:val="181D23"/>
          <w:kern w:val="0"/>
          <w:sz w:val="22"/>
          <w:szCs w:val="22"/>
          <w14:ligatures w14:val="none"/>
        </w:rPr>
        <w:t>High-dose glucocorticoids</w:t>
      </w:r>
    </w:p>
    <w:p w14:paraId="711A77D0" w14:textId="137A57E4"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B. </w:t>
      </w:r>
      <w:r w:rsidRPr="00BD381A">
        <w:rPr>
          <w:rFonts w:ascii="Calibri" w:eastAsia="Times New Roman" w:hAnsi="Calibri" w:cs="Calibri"/>
          <w:color w:val="181D23"/>
          <w:kern w:val="0"/>
          <w:sz w:val="22"/>
          <w:szCs w:val="22"/>
          <w14:ligatures w14:val="none"/>
        </w:rPr>
        <w:t>Tissue diagnosis</w:t>
      </w:r>
    </w:p>
    <w:p w14:paraId="020CDABE" w14:textId="3DDFA2FD"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lastRenderedPageBreak/>
        <w:t xml:space="preserve">C. </w:t>
      </w:r>
      <w:r w:rsidRPr="00BD381A">
        <w:rPr>
          <w:rFonts w:ascii="Calibri" w:eastAsia="Times New Roman" w:hAnsi="Calibri" w:cs="Calibri"/>
          <w:color w:val="181D23"/>
          <w:kern w:val="0"/>
          <w:sz w:val="22"/>
          <w:szCs w:val="22"/>
          <w14:ligatures w14:val="none"/>
        </w:rPr>
        <w:t>Unfractionated heparin infusion</w:t>
      </w:r>
    </w:p>
    <w:p w14:paraId="24152BCA" w14:textId="7FDFAA67" w:rsid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D. </w:t>
      </w:r>
      <w:r w:rsidRPr="00BD381A">
        <w:rPr>
          <w:rFonts w:ascii="Calibri" w:eastAsia="Times New Roman" w:hAnsi="Calibri" w:cs="Calibri"/>
          <w:color w:val="181D23"/>
          <w:kern w:val="0"/>
          <w:sz w:val="22"/>
          <w:szCs w:val="22"/>
          <w14:ligatures w14:val="none"/>
        </w:rPr>
        <w:t>Urgent superior vena cava stent placement</w:t>
      </w:r>
      <w:r w:rsidRPr="00BD381A">
        <w:rPr>
          <w:rFonts w:ascii="Calibri" w:eastAsia="Times New Roman" w:hAnsi="Calibri" w:cs="Calibri"/>
          <w:vanish/>
          <w:kern w:val="0"/>
          <w:sz w:val="22"/>
          <w:szCs w:val="22"/>
          <w14:ligatures w14:val="none"/>
        </w:rPr>
        <w:t>Bottom of Form</w:t>
      </w:r>
    </w:p>
    <w:p w14:paraId="07205465" w14:textId="77777777"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p>
    <w:p w14:paraId="28310692" w14:textId="249E2D1D"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3. An 87-year-old man is evaluated for bacteremia in the hospital 4 days after being admitted for pyelonephritis. Medical history is notable for benign prostatic hyperplasia and multiple episodes of extended-spectrum β-lactamase (ESBL)–producing </w:t>
      </w:r>
      <w:r w:rsidRPr="00BD381A">
        <w:rPr>
          <w:rFonts w:ascii="Calibri" w:eastAsia="Times New Roman" w:hAnsi="Calibri" w:cs="Calibri"/>
          <w:i/>
          <w:iCs/>
          <w:kern w:val="0"/>
          <w:sz w:val="22"/>
          <w:szCs w:val="22"/>
          <w14:ligatures w14:val="none"/>
        </w:rPr>
        <w:t>Escherichia coli</w:t>
      </w:r>
      <w:r w:rsidRPr="00BD381A">
        <w:rPr>
          <w:rFonts w:ascii="Calibri" w:eastAsia="Times New Roman" w:hAnsi="Calibri" w:cs="Calibri"/>
          <w:kern w:val="0"/>
          <w:sz w:val="22"/>
          <w:szCs w:val="22"/>
          <w14:ligatures w14:val="none"/>
        </w:rPr>
        <w:t> urinary tract infections. Ertapenem was initiated at admission; his only other medication is finasteride. His symptoms of chills and dysuria have resolved.</w:t>
      </w:r>
    </w:p>
    <w:p w14:paraId="7BD5E7D3"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On physical examination, temperature is 37.1 °C (98.8 °F) (at admission, 38.8 °C [101.8 °F]), blood pressure is 118/76 mm Hg (at admission, 100/68 mm Hg), and pulse rate is 90/min. No suprapubic or costovertebral angle tenderness is noted, and bowel sounds are normal.</w:t>
      </w:r>
    </w:p>
    <w:tbl>
      <w:tblPr>
        <w:tblW w:w="11520" w:type="dxa"/>
        <w:tblCellMar>
          <w:top w:w="15" w:type="dxa"/>
          <w:left w:w="15" w:type="dxa"/>
          <w:bottom w:w="15" w:type="dxa"/>
          <w:right w:w="15" w:type="dxa"/>
        </w:tblCellMar>
        <w:tblLook w:val="04A0" w:firstRow="1" w:lastRow="0" w:firstColumn="1" w:lastColumn="0" w:noHBand="0" w:noVBand="1"/>
      </w:tblPr>
      <w:tblGrid>
        <w:gridCol w:w="4478"/>
        <w:gridCol w:w="6541"/>
        <w:gridCol w:w="501"/>
      </w:tblGrid>
      <w:tr w:rsidR="00BD381A" w:rsidRPr="00BD381A" w14:paraId="1ABBB811" w14:textId="77777777">
        <w:tc>
          <w:tcPr>
            <w:tcW w:w="0" w:type="auto"/>
            <w:gridSpan w:val="3"/>
            <w:tcBorders>
              <w:top w:val="nil"/>
              <w:left w:val="nil"/>
              <w:bottom w:val="nil"/>
              <w:right w:val="nil"/>
            </w:tcBorders>
            <w:vAlign w:val="center"/>
            <w:hideMark/>
          </w:tcPr>
          <w:p w14:paraId="582B9338"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Laboratory studies:</w:t>
            </w:r>
          </w:p>
        </w:tc>
      </w:tr>
      <w:tr w:rsidR="00BD381A" w:rsidRPr="00BD381A" w14:paraId="1EB0140F" w14:textId="77777777">
        <w:tc>
          <w:tcPr>
            <w:tcW w:w="0" w:type="auto"/>
            <w:tcBorders>
              <w:left w:val="nil"/>
              <w:right w:val="nil"/>
            </w:tcBorders>
            <w:hideMark/>
          </w:tcPr>
          <w:p w14:paraId="2E912D28"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Leukocyte count</w:t>
            </w:r>
          </w:p>
        </w:tc>
        <w:tc>
          <w:tcPr>
            <w:tcW w:w="0" w:type="auto"/>
            <w:tcBorders>
              <w:right w:val="nil"/>
            </w:tcBorders>
            <w:hideMark/>
          </w:tcPr>
          <w:p w14:paraId="127E2E3A"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8900/µL (8.9 × 10</w:t>
            </w:r>
            <w:r w:rsidRPr="00BD381A">
              <w:rPr>
                <w:rFonts w:ascii="Calibri" w:eastAsia="Times New Roman" w:hAnsi="Calibri" w:cs="Calibri"/>
                <w:kern w:val="0"/>
                <w:sz w:val="22"/>
                <w:szCs w:val="22"/>
                <w:vertAlign w:val="superscript"/>
                <w14:ligatures w14:val="none"/>
              </w:rPr>
              <w:t>9</w:t>
            </w:r>
            <w:r w:rsidRPr="00BD381A">
              <w:rPr>
                <w:rFonts w:ascii="Calibri" w:eastAsia="Times New Roman" w:hAnsi="Calibri" w:cs="Calibri"/>
                <w:kern w:val="0"/>
                <w:sz w:val="22"/>
                <w:szCs w:val="22"/>
                <w14:ligatures w14:val="none"/>
              </w:rPr>
              <w:t>/L)</w:t>
            </w:r>
          </w:p>
        </w:tc>
        <w:tc>
          <w:tcPr>
            <w:tcW w:w="0" w:type="auto"/>
            <w:tcBorders>
              <w:left w:val="nil"/>
              <w:right w:val="nil"/>
            </w:tcBorders>
            <w:hideMark/>
          </w:tcPr>
          <w:p w14:paraId="0DC0209E"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p>
        </w:tc>
      </w:tr>
      <w:tr w:rsidR="00BD381A" w:rsidRPr="00BD381A" w14:paraId="2B36840A" w14:textId="77777777">
        <w:tc>
          <w:tcPr>
            <w:tcW w:w="0" w:type="auto"/>
            <w:tcBorders>
              <w:left w:val="nil"/>
              <w:right w:val="nil"/>
            </w:tcBorders>
            <w:hideMark/>
          </w:tcPr>
          <w:p w14:paraId="63FE41F0"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At admission</w:t>
            </w:r>
          </w:p>
        </w:tc>
        <w:tc>
          <w:tcPr>
            <w:tcW w:w="0" w:type="auto"/>
            <w:tcBorders>
              <w:right w:val="nil"/>
            </w:tcBorders>
            <w:hideMark/>
          </w:tcPr>
          <w:p w14:paraId="62280237"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18,900/µL (18.9 × 10</w:t>
            </w:r>
            <w:r w:rsidRPr="00BD381A">
              <w:rPr>
                <w:rFonts w:ascii="Calibri" w:eastAsia="Times New Roman" w:hAnsi="Calibri" w:cs="Calibri"/>
                <w:kern w:val="0"/>
                <w:sz w:val="22"/>
                <w:szCs w:val="22"/>
                <w:vertAlign w:val="superscript"/>
                <w14:ligatures w14:val="none"/>
              </w:rPr>
              <w:t>9</w:t>
            </w:r>
            <w:r w:rsidRPr="00BD381A">
              <w:rPr>
                <w:rFonts w:ascii="Calibri" w:eastAsia="Times New Roman" w:hAnsi="Calibri" w:cs="Calibri"/>
                <w:kern w:val="0"/>
                <w:sz w:val="22"/>
                <w:szCs w:val="22"/>
                <w14:ligatures w14:val="none"/>
              </w:rPr>
              <w:t>/L)</w:t>
            </w:r>
          </w:p>
          <w:p w14:paraId="2C3480C3"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p>
        </w:tc>
        <w:tc>
          <w:tcPr>
            <w:tcW w:w="0" w:type="auto"/>
            <w:tcBorders>
              <w:left w:val="nil"/>
              <w:right w:val="nil"/>
            </w:tcBorders>
            <w:hideMark/>
          </w:tcPr>
          <w:p w14:paraId="753C73E1"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H</w:t>
            </w:r>
          </w:p>
        </w:tc>
      </w:tr>
    </w:tbl>
    <w:p w14:paraId="65742C80"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Urine culture and blood cultures are growing </w:t>
      </w:r>
      <w:r w:rsidRPr="00BD381A">
        <w:rPr>
          <w:rFonts w:ascii="Calibri" w:eastAsia="Times New Roman" w:hAnsi="Calibri" w:cs="Calibri"/>
          <w:i/>
          <w:iCs/>
          <w:kern w:val="0"/>
          <w:sz w:val="22"/>
          <w:szCs w:val="22"/>
          <w14:ligatures w14:val="none"/>
        </w:rPr>
        <w:t>E. coli</w:t>
      </w:r>
      <w:r w:rsidRPr="00BD381A">
        <w:rPr>
          <w:rFonts w:ascii="Calibri" w:eastAsia="Times New Roman" w:hAnsi="Calibri" w:cs="Calibri"/>
          <w:kern w:val="0"/>
          <w:sz w:val="22"/>
          <w:szCs w:val="22"/>
          <w14:ligatures w14:val="none"/>
        </w:rPr>
        <w:t> resistant to ceftriaxone and ceftazidime and sensitive to meropenem, ciprofloxacin, and nitrofurantoin.</w:t>
      </w:r>
    </w:p>
    <w:p w14:paraId="34DC2589"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An ECG is normal, with a corrected QT interval of 410 msec.</w:t>
      </w:r>
    </w:p>
    <w:p w14:paraId="7C98B5FC" w14:textId="77777777" w:rsidR="00BD381A" w:rsidRPr="00BD381A" w:rsidRDefault="00BD381A" w:rsidP="00BD381A">
      <w:pPr>
        <w:pBdr>
          <w:bottom w:val="single" w:sz="6" w:space="1" w:color="auto"/>
        </w:pBdr>
        <w:spacing w:after="0" w:line="240" w:lineRule="auto"/>
        <w:jc w:val="center"/>
        <w:rPr>
          <w:rFonts w:ascii="Calibri" w:eastAsia="Times New Roman" w:hAnsi="Calibri" w:cs="Calibri"/>
          <w:vanish/>
          <w:kern w:val="0"/>
          <w:sz w:val="22"/>
          <w:szCs w:val="22"/>
          <w14:ligatures w14:val="none"/>
        </w:rPr>
      </w:pPr>
      <w:r w:rsidRPr="00BD381A">
        <w:rPr>
          <w:rFonts w:ascii="Calibri" w:eastAsia="Times New Roman" w:hAnsi="Calibri" w:cs="Calibri"/>
          <w:vanish/>
          <w:kern w:val="0"/>
          <w:sz w:val="22"/>
          <w:szCs w:val="22"/>
          <w14:ligatures w14:val="none"/>
        </w:rPr>
        <w:t>Top of Form</w:t>
      </w:r>
    </w:p>
    <w:p w14:paraId="098A6DC0" w14:textId="77777777" w:rsidR="00BD381A" w:rsidRPr="00BD381A" w:rsidRDefault="00BD381A" w:rsidP="00BD381A">
      <w:pPr>
        <w:spacing w:after="100" w:afterAutospacing="1"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14:ligatures w14:val="none"/>
        </w:rPr>
        <w:t>Which of the following is the most appropriate next step in management?</w:t>
      </w:r>
    </w:p>
    <w:p w14:paraId="2AF1A92B" w14:textId="6633AC77"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A. </w:t>
      </w:r>
      <w:r w:rsidRPr="00BD381A">
        <w:rPr>
          <w:rFonts w:ascii="Calibri" w:eastAsia="Times New Roman" w:hAnsi="Calibri" w:cs="Calibri"/>
          <w:color w:val="181D23"/>
          <w:kern w:val="0"/>
          <w:sz w:val="22"/>
          <w:szCs w:val="22"/>
          <w14:ligatures w14:val="none"/>
        </w:rPr>
        <w:t>Change ertapenem to meropenem</w:t>
      </w:r>
    </w:p>
    <w:p w14:paraId="7D77F1C2" w14:textId="0B8706F8"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B. </w:t>
      </w:r>
      <w:r w:rsidRPr="00BD381A">
        <w:rPr>
          <w:rFonts w:ascii="Calibri" w:eastAsia="Times New Roman" w:hAnsi="Calibri" w:cs="Calibri"/>
          <w:color w:val="181D23"/>
          <w:kern w:val="0"/>
          <w:sz w:val="22"/>
          <w:szCs w:val="22"/>
          <w14:ligatures w14:val="none"/>
        </w:rPr>
        <w:t>Change ertapenem to oral nitrofurantoin</w:t>
      </w:r>
    </w:p>
    <w:p w14:paraId="51E240C6" w14:textId="2C9365A9"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C. </w:t>
      </w:r>
      <w:r w:rsidRPr="00BD381A">
        <w:rPr>
          <w:rFonts w:ascii="Calibri" w:eastAsia="Times New Roman" w:hAnsi="Calibri" w:cs="Calibri"/>
          <w:color w:val="181D23"/>
          <w:kern w:val="0"/>
          <w:sz w:val="22"/>
          <w:szCs w:val="22"/>
          <w14:ligatures w14:val="none"/>
        </w:rPr>
        <w:t>Change ertapenem to oral ciprofloxacin</w:t>
      </w:r>
    </w:p>
    <w:p w14:paraId="24E7AE9D" w14:textId="3A28C079" w:rsid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D. </w:t>
      </w:r>
      <w:r w:rsidRPr="00BD381A">
        <w:rPr>
          <w:rFonts w:ascii="Calibri" w:eastAsia="Times New Roman" w:hAnsi="Calibri" w:cs="Calibri"/>
          <w:color w:val="181D23"/>
          <w:kern w:val="0"/>
          <w:sz w:val="22"/>
          <w:szCs w:val="22"/>
          <w14:ligatures w14:val="none"/>
        </w:rPr>
        <w:t>Continue ertapenem</w:t>
      </w:r>
      <w:r w:rsidRPr="00BD381A">
        <w:rPr>
          <w:rFonts w:ascii="Calibri" w:eastAsia="Times New Roman" w:hAnsi="Calibri" w:cs="Calibri"/>
          <w:vanish/>
          <w:kern w:val="0"/>
          <w:sz w:val="22"/>
          <w:szCs w:val="22"/>
          <w14:ligatures w14:val="none"/>
        </w:rPr>
        <w:t>Bottom of Form</w:t>
      </w:r>
    </w:p>
    <w:p w14:paraId="2D422923" w14:textId="77777777"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p>
    <w:p w14:paraId="6ABD364F" w14:textId="5E908652"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4. A 67-year-old man is evaluated in the emergency department for fever, chills, cough, and dyspnea. His child was recently diagnosed with influenza.</w:t>
      </w:r>
    </w:p>
    <w:p w14:paraId="77D97174"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On physical examination, temperature is 38.8 °C (101.8 °F), blood pressure is 82/40 mm Hg, pulse rate is 128/min, and respiration rate is 17/min. Oxygen saturation is 92% with the patient breathing ambient air. Lungs are clear on auscultation. The extremities are warm. The remainder of the examination is normal.</w:t>
      </w:r>
    </w:p>
    <w:tbl>
      <w:tblPr>
        <w:tblW w:w="11520" w:type="dxa"/>
        <w:tblCellMar>
          <w:top w:w="15" w:type="dxa"/>
          <w:left w:w="15" w:type="dxa"/>
          <w:bottom w:w="15" w:type="dxa"/>
          <w:right w:w="15" w:type="dxa"/>
        </w:tblCellMar>
        <w:tblLook w:val="04A0" w:firstRow="1" w:lastRow="0" w:firstColumn="1" w:lastColumn="0" w:noHBand="0" w:noVBand="1"/>
      </w:tblPr>
      <w:tblGrid>
        <w:gridCol w:w="4540"/>
        <w:gridCol w:w="6472"/>
        <w:gridCol w:w="508"/>
      </w:tblGrid>
      <w:tr w:rsidR="00BD381A" w:rsidRPr="00BD381A" w14:paraId="6591DA46" w14:textId="77777777">
        <w:tc>
          <w:tcPr>
            <w:tcW w:w="0" w:type="auto"/>
            <w:gridSpan w:val="3"/>
            <w:tcBorders>
              <w:top w:val="nil"/>
              <w:left w:val="nil"/>
              <w:bottom w:val="nil"/>
              <w:right w:val="nil"/>
            </w:tcBorders>
            <w:vAlign w:val="center"/>
            <w:hideMark/>
          </w:tcPr>
          <w:p w14:paraId="6BE25989"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Laboratory studies:</w:t>
            </w:r>
          </w:p>
        </w:tc>
      </w:tr>
      <w:tr w:rsidR="00BD381A" w:rsidRPr="00BD381A" w14:paraId="449FEBFA" w14:textId="77777777">
        <w:tc>
          <w:tcPr>
            <w:tcW w:w="0" w:type="auto"/>
            <w:tcBorders>
              <w:left w:val="nil"/>
              <w:right w:val="nil"/>
            </w:tcBorders>
            <w:hideMark/>
          </w:tcPr>
          <w:p w14:paraId="276F92DD"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Hemoglobin</w:t>
            </w:r>
          </w:p>
        </w:tc>
        <w:tc>
          <w:tcPr>
            <w:tcW w:w="0" w:type="auto"/>
            <w:tcBorders>
              <w:right w:val="nil"/>
            </w:tcBorders>
            <w:hideMark/>
          </w:tcPr>
          <w:p w14:paraId="7E61DD2E"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10 g/dL (100 g/L)</w:t>
            </w:r>
          </w:p>
        </w:tc>
        <w:tc>
          <w:tcPr>
            <w:tcW w:w="0" w:type="auto"/>
            <w:tcBorders>
              <w:left w:val="nil"/>
              <w:right w:val="nil"/>
            </w:tcBorders>
            <w:hideMark/>
          </w:tcPr>
          <w:p w14:paraId="0B6F370F"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L</w:t>
            </w:r>
          </w:p>
        </w:tc>
      </w:tr>
      <w:tr w:rsidR="00BD381A" w:rsidRPr="00BD381A" w14:paraId="3F6A0898" w14:textId="77777777">
        <w:tc>
          <w:tcPr>
            <w:tcW w:w="0" w:type="auto"/>
            <w:tcBorders>
              <w:left w:val="nil"/>
              <w:right w:val="nil"/>
            </w:tcBorders>
            <w:hideMark/>
          </w:tcPr>
          <w:p w14:paraId="462CB222"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Leukocyte count</w:t>
            </w:r>
          </w:p>
        </w:tc>
        <w:tc>
          <w:tcPr>
            <w:tcW w:w="0" w:type="auto"/>
            <w:tcBorders>
              <w:right w:val="nil"/>
            </w:tcBorders>
            <w:hideMark/>
          </w:tcPr>
          <w:p w14:paraId="3BBA93CD"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18,000/µL (18 × 10</w:t>
            </w:r>
            <w:r w:rsidRPr="00BD381A">
              <w:rPr>
                <w:rFonts w:ascii="Calibri" w:eastAsia="Times New Roman" w:hAnsi="Calibri" w:cs="Calibri"/>
                <w:kern w:val="0"/>
                <w:sz w:val="22"/>
                <w:szCs w:val="22"/>
                <w:vertAlign w:val="superscript"/>
                <w14:ligatures w14:val="none"/>
              </w:rPr>
              <w:t>9</w:t>
            </w:r>
            <w:r w:rsidRPr="00BD381A">
              <w:rPr>
                <w:rFonts w:ascii="Calibri" w:eastAsia="Times New Roman" w:hAnsi="Calibri" w:cs="Calibri"/>
                <w:kern w:val="0"/>
                <w:sz w:val="22"/>
                <w:szCs w:val="22"/>
                <w14:ligatures w14:val="none"/>
              </w:rPr>
              <w:t>/L)</w:t>
            </w:r>
          </w:p>
        </w:tc>
        <w:tc>
          <w:tcPr>
            <w:tcW w:w="0" w:type="auto"/>
            <w:tcBorders>
              <w:left w:val="nil"/>
              <w:right w:val="nil"/>
            </w:tcBorders>
            <w:hideMark/>
          </w:tcPr>
          <w:p w14:paraId="7FC4E3F4"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H</w:t>
            </w:r>
          </w:p>
        </w:tc>
      </w:tr>
      <w:tr w:rsidR="00BD381A" w:rsidRPr="00BD381A" w14:paraId="7BA157EE" w14:textId="77777777">
        <w:tc>
          <w:tcPr>
            <w:tcW w:w="0" w:type="auto"/>
            <w:tcBorders>
              <w:left w:val="nil"/>
              <w:right w:val="nil"/>
            </w:tcBorders>
            <w:hideMark/>
          </w:tcPr>
          <w:p w14:paraId="61D879EC"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Lactate</w:t>
            </w:r>
          </w:p>
        </w:tc>
        <w:tc>
          <w:tcPr>
            <w:tcW w:w="0" w:type="auto"/>
            <w:tcBorders>
              <w:right w:val="nil"/>
            </w:tcBorders>
            <w:hideMark/>
          </w:tcPr>
          <w:p w14:paraId="389153D9" w14:textId="77777777" w:rsid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 xml:space="preserve">4.6 </w:t>
            </w:r>
            <w:proofErr w:type="spellStart"/>
            <w:r w:rsidRPr="00BD381A">
              <w:rPr>
                <w:rFonts w:ascii="Calibri" w:eastAsia="Times New Roman" w:hAnsi="Calibri" w:cs="Calibri"/>
                <w:kern w:val="0"/>
                <w:sz w:val="22"/>
                <w:szCs w:val="22"/>
                <w14:ligatures w14:val="none"/>
              </w:rPr>
              <w:t>mEq</w:t>
            </w:r>
            <w:proofErr w:type="spellEnd"/>
            <w:r w:rsidRPr="00BD381A">
              <w:rPr>
                <w:rFonts w:ascii="Calibri" w:eastAsia="Times New Roman" w:hAnsi="Calibri" w:cs="Calibri"/>
                <w:kern w:val="0"/>
                <w:sz w:val="22"/>
                <w:szCs w:val="22"/>
                <w14:ligatures w14:val="none"/>
              </w:rPr>
              <w:t>/L (4.6 mmol/L)</w:t>
            </w:r>
          </w:p>
          <w:p w14:paraId="178A8D20"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p>
          <w:p w14:paraId="48CA303F"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p>
        </w:tc>
        <w:tc>
          <w:tcPr>
            <w:tcW w:w="0" w:type="auto"/>
            <w:tcBorders>
              <w:left w:val="nil"/>
              <w:right w:val="nil"/>
            </w:tcBorders>
            <w:hideMark/>
          </w:tcPr>
          <w:p w14:paraId="0FA9AEBE"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H</w:t>
            </w:r>
          </w:p>
        </w:tc>
      </w:tr>
    </w:tbl>
    <w:p w14:paraId="77B74C67"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Chest radiograph shows right basilar ground-glass opacities.</w:t>
      </w:r>
    </w:p>
    <w:p w14:paraId="4DFB10DD" w14:textId="77777777" w:rsidR="00BD381A" w:rsidRPr="00BD381A" w:rsidRDefault="00BD381A" w:rsidP="00BD381A">
      <w:pPr>
        <w:pBdr>
          <w:bottom w:val="single" w:sz="6" w:space="1" w:color="auto"/>
        </w:pBdr>
        <w:spacing w:after="0" w:line="240" w:lineRule="auto"/>
        <w:jc w:val="center"/>
        <w:rPr>
          <w:rFonts w:ascii="Calibri" w:eastAsia="Times New Roman" w:hAnsi="Calibri" w:cs="Calibri"/>
          <w:vanish/>
          <w:kern w:val="0"/>
          <w:sz w:val="22"/>
          <w:szCs w:val="22"/>
          <w14:ligatures w14:val="none"/>
        </w:rPr>
      </w:pPr>
      <w:r w:rsidRPr="00BD381A">
        <w:rPr>
          <w:rFonts w:ascii="Calibri" w:eastAsia="Times New Roman" w:hAnsi="Calibri" w:cs="Calibri"/>
          <w:vanish/>
          <w:kern w:val="0"/>
          <w:sz w:val="22"/>
          <w:szCs w:val="22"/>
          <w14:ligatures w14:val="none"/>
        </w:rPr>
        <w:t>Top of Form</w:t>
      </w:r>
    </w:p>
    <w:p w14:paraId="33C2DB75" w14:textId="77777777" w:rsidR="00BD381A" w:rsidRPr="00BD381A" w:rsidRDefault="00BD381A" w:rsidP="00BD381A">
      <w:pPr>
        <w:spacing w:after="100" w:afterAutospacing="1"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14:ligatures w14:val="none"/>
        </w:rPr>
        <w:t>Which of the following is the most appropriate initial treatment?</w:t>
      </w:r>
    </w:p>
    <w:p w14:paraId="02F79E07" w14:textId="27DCAE3D"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A. </w:t>
      </w:r>
      <w:r w:rsidRPr="00BD381A">
        <w:rPr>
          <w:rFonts w:ascii="Calibri" w:eastAsia="Times New Roman" w:hAnsi="Calibri" w:cs="Calibri"/>
          <w:color w:val="181D23"/>
          <w:kern w:val="0"/>
          <w:sz w:val="22"/>
          <w:szCs w:val="22"/>
          <w14:ligatures w14:val="none"/>
        </w:rPr>
        <w:t>Intravenous furosemide</w:t>
      </w:r>
    </w:p>
    <w:p w14:paraId="0A78D533" w14:textId="30D82ACB"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B. </w:t>
      </w:r>
      <w:r w:rsidRPr="00BD381A">
        <w:rPr>
          <w:rFonts w:ascii="Calibri" w:eastAsia="Times New Roman" w:hAnsi="Calibri" w:cs="Calibri"/>
          <w:color w:val="181D23"/>
          <w:kern w:val="0"/>
          <w:sz w:val="22"/>
          <w:szCs w:val="22"/>
          <w14:ligatures w14:val="none"/>
        </w:rPr>
        <w:t>Norepinephrine</w:t>
      </w:r>
    </w:p>
    <w:p w14:paraId="13080BB0" w14:textId="6D19D15F"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lastRenderedPageBreak/>
        <w:t xml:space="preserve">C. </w:t>
      </w:r>
      <w:r w:rsidRPr="00BD381A">
        <w:rPr>
          <w:rFonts w:ascii="Calibri" w:eastAsia="Times New Roman" w:hAnsi="Calibri" w:cs="Calibri"/>
          <w:color w:val="181D23"/>
          <w:kern w:val="0"/>
          <w:sz w:val="22"/>
          <w:szCs w:val="22"/>
          <w14:ligatures w14:val="none"/>
        </w:rPr>
        <w:t>Packed red blood cell transfusion</w:t>
      </w:r>
    </w:p>
    <w:p w14:paraId="36B52A51" w14:textId="2653658F"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D. </w:t>
      </w:r>
      <w:r w:rsidRPr="00BD381A">
        <w:rPr>
          <w:rFonts w:ascii="Calibri" w:eastAsia="Times New Roman" w:hAnsi="Calibri" w:cs="Calibri"/>
          <w:color w:val="181D23"/>
          <w:kern w:val="0"/>
          <w:sz w:val="22"/>
          <w:szCs w:val="22"/>
          <w14:ligatures w14:val="none"/>
        </w:rPr>
        <w:t>0.9% saline bolus</w:t>
      </w:r>
    </w:p>
    <w:p w14:paraId="0C0CCA6B" w14:textId="77777777"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p>
    <w:p w14:paraId="5F2534EC" w14:textId="2A60CBA6" w:rsidR="00BD381A" w:rsidRPr="00BD381A" w:rsidRDefault="00BD381A" w:rsidP="00BD381A">
      <w:pPr>
        <w:spacing w:after="0" w:line="240" w:lineRule="auto"/>
        <w:rPr>
          <w:rFonts w:ascii="Calibri" w:eastAsia="Times New Roman" w:hAnsi="Calibri" w:cs="Calibri"/>
          <w:vanish/>
          <w:kern w:val="0"/>
          <w:sz w:val="22"/>
          <w:szCs w:val="22"/>
          <w14:ligatures w14:val="none"/>
        </w:rPr>
      </w:pPr>
      <w:r w:rsidRPr="00BD381A">
        <w:rPr>
          <w:rFonts w:ascii="Calibri" w:eastAsia="Times New Roman" w:hAnsi="Calibri" w:cs="Calibri"/>
          <w:kern w:val="0"/>
          <w:sz w:val="22"/>
          <w:szCs w:val="22"/>
          <w14:ligatures w14:val="none"/>
        </w:rPr>
        <w:t xml:space="preserve">5. </w:t>
      </w:r>
      <w:r w:rsidRPr="00BD381A">
        <w:rPr>
          <w:rFonts w:ascii="Calibri" w:eastAsia="Times New Roman" w:hAnsi="Calibri" w:cs="Calibri"/>
          <w:vanish/>
          <w:kern w:val="0"/>
          <w:sz w:val="22"/>
          <w:szCs w:val="22"/>
          <w14:ligatures w14:val="none"/>
        </w:rPr>
        <w:t>Bottom of Form</w:t>
      </w:r>
    </w:p>
    <w:p w14:paraId="48E52952"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A 38-year-old man is evaluated in the emergency department with fever and generalized abdominal pain, which began 12 hours earlier. He has a history of alcohol use disorder and chronic pancreatitis. He does not take any medications.</w:t>
      </w:r>
    </w:p>
    <w:p w14:paraId="1A6F1645"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On physical examination, temperature is 38.6 °C (101.5 °F), blood pressure is 95/60 mm Hg, and pulse rate is 106/min. Other vital signs and mentation are normal. The patient is warm to the touch. There is no jugular venous distention, and heart and lung sounds are normal. The abdomen is nondistended, with diffuse tenderness to palpation without rebound tenderness or guarding. No mottling of the skin is noted, and capillary refill time is 2 seconds.</w:t>
      </w:r>
    </w:p>
    <w:tbl>
      <w:tblPr>
        <w:tblW w:w="11520" w:type="dxa"/>
        <w:tblCellMar>
          <w:top w:w="15" w:type="dxa"/>
          <w:left w:w="15" w:type="dxa"/>
          <w:bottom w:w="15" w:type="dxa"/>
          <w:right w:w="15" w:type="dxa"/>
        </w:tblCellMar>
        <w:tblLook w:val="04A0" w:firstRow="1" w:lastRow="0" w:firstColumn="1" w:lastColumn="0" w:noHBand="0" w:noVBand="1"/>
      </w:tblPr>
      <w:tblGrid>
        <w:gridCol w:w="5954"/>
        <w:gridCol w:w="5170"/>
        <w:gridCol w:w="396"/>
      </w:tblGrid>
      <w:tr w:rsidR="00BD381A" w:rsidRPr="00BD381A" w14:paraId="0B8F7863" w14:textId="77777777">
        <w:tc>
          <w:tcPr>
            <w:tcW w:w="0" w:type="auto"/>
            <w:gridSpan w:val="3"/>
            <w:tcBorders>
              <w:top w:val="nil"/>
              <w:left w:val="nil"/>
              <w:bottom w:val="nil"/>
              <w:right w:val="nil"/>
            </w:tcBorders>
            <w:vAlign w:val="center"/>
            <w:hideMark/>
          </w:tcPr>
          <w:p w14:paraId="32B602A0"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Laboratory studies:</w:t>
            </w:r>
          </w:p>
        </w:tc>
      </w:tr>
      <w:tr w:rsidR="00BD381A" w:rsidRPr="00BD381A" w14:paraId="40134C14" w14:textId="77777777">
        <w:tc>
          <w:tcPr>
            <w:tcW w:w="0" w:type="auto"/>
            <w:tcBorders>
              <w:left w:val="nil"/>
              <w:right w:val="nil"/>
            </w:tcBorders>
            <w:hideMark/>
          </w:tcPr>
          <w:p w14:paraId="1A0A33A7"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Leukocyte count</w:t>
            </w:r>
          </w:p>
        </w:tc>
        <w:tc>
          <w:tcPr>
            <w:tcW w:w="0" w:type="auto"/>
            <w:tcBorders>
              <w:right w:val="nil"/>
            </w:tcBorders>
            <w:hideMark/>
          </w:tcPr>
          <w:p w14:paraId="146C3E4D"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18,000/µL (18 × 10</w:t>
            </w:r>
            <w:r w:rsidRPr="00BD381A">
              <w:rPr>
                <w:rFonts w:ascii="Calibri" w:eastAsia="Times New Roman" w:hAnsi="Calibri" w:cs="Calibri"/>
                <w:kern w:val="0"/>
                <w:sz w:val="22"/>
                <w:szCs w:val="22"/>
                <w:vertAlign w:val="superscript"/>
                <w14:ligatures w14:val="none"/>
              </w:rPr>
              <w:t>9</w:t>
            </w:r>
            <w:r w:rsidRPr="00BD381A">
              <w:rPr>
                <w:rFonts w:ascii="Calibri" w:eastAsia="Times New Roman" w:hAnsi="Calibri" w:cs="Calibri"/>
                <w:kern w:val="0"/>
                <w:sz w:val="22"/>
                <w:szCs w:val="22"/>
                <w14:ligatures w14:val="none"/>
              </w:rPr>
              <w:t>/L)</w:t>
            </w:r>
          </w:p>
        </w:tc>
        <w:tc>
          <w:tcPr>
            <w:tcW w:w="0" w:type="auto"/>
            <w:tcBorders>
              <w:left w:val="nil"/>
              <w:right w:val="nil"/>
            </w:tcBorders>
            <w:hideMark/>
          </w:tcPr>
          <w:p w14:paraId="179EBF08"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H</w:t>
            </w:r>
          </w:p>
        </w:tc>
      </w:tr>
      <w:tr w:rsidR="00BD381A" w:rsidRPr="00BD381A" w14:paraId="2E77EEFE" w14:textId="77777777">
        <w:tc>
          <w:tcPr>
            <w:tcW w:w="0" w:type="auto"/>
            <w:tcBorders>
              <w:left w:val="nil"/>
              <w:right w:val="nil"/>
            </w:tcBorders>
            <w:hideMark/>
          </w:tcPr>
          <w:p w14:paraId="3F5A819E"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Alanine aminotransferase</w:t>
            </w:r>
          </w:p>
        </w:tc>
        <w:tc>
          <w:tcPr>
            <w:tcW w:w="0" w:type="auto"/>
            <w:tcBorders>
              <w:right w:val="nil"/>
            </w:tcBorders>
            <w:hideMark/>
          </w:tcPr>
          <w:p w14:paraId="0E2B68E3"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32 U/L</w:t>
            </w:r>
          </w:p>
        </w:tc>
        <w:tc>
          <w:tcPr>
            <w:tcW w:w="0" w:type="auto"/>
            <w:tcBorders>
              <w:left w:val="nil"/>
              <w:right w:val="nil"/>
            </w:tcBorders>
            <w:hideMark/>
          </w:tcPr>
          <w:p w14:paraId="326381D1"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p>
        </w:tc>
      </w:tr>
      <w:tr w:rsidR="00BD381A" w:rsidRPr="00BD381A" w14:paraId="4E38EBC7" w14:textId="77777777">
        <w:tc>
          <w:tcPr>
            <w:tcW w:w="0" w:type="auto"/>
            <w:tcBorders>
              <w:left w:val="nil"/>
              <w:right w:val="nil"/>
            </w:tcBorders>
            <w:hideMark/>
          </w:tcPr>
          <w:p w14:paraId="4A18455D"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Aspartate aminotransferase</w:t>
            </w:r>
          </w:p>
        </w:tc>
        <w:tc>
          <w:tcPr>
            <w:tcW w:w="0" w:type="auto"/>
            <w:tcBorders>
              <w:right w:val="nil"/>
            </w:tcBorders>
            <w:hideMark/>
          </w:tcPr>
          <w:p w14:paraId="2029D861"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84 U/L</w:t>
            </w:r>
          </w:p>
        </w:tc>
        <w:tc>
          <w:tcPr>
            <w:tcW w:w="0" w:type="auto"/>
            <w:tcBorders>
              <w:left w:val="nil"/>
              <w:right w:val="nil"/>
            </w:tcBorders>
            <w:hideMark/>
          </w:tcPr>
          <w:p w14:paraId="005EC1AE"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H</w:t>
            </w:r>
          </w:p>
        </w:tc>
      </w:tr>
      <w:tr w:rsidR="00BD381A" w:rsidRPr="00BD381A" w14:paraId="2F0F281E" w14:textId="77777777">
        <w:tc>
          <w:tcPr>
            <w:tcW w:w="0" w:type="auto"/>
            <w:tcBorders>
              <w:left w:val="nil"/>
              <w:right w:val="nil"/>
            </w:tcBorders>
            <w:hideMark/>
          </w:tcPr>
          <w:p w14:paraId="78BA1AA4"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Amylase</w:t>
            </w:r>
          </w:p>
        </w:tc>
        <w:tc>
          <w:tcPr>
            <w:tcW w:w="0" w:type="auto"/>
            <w:tcBorders>
              <w:right w:val="nil"/>
            </w:tcBorders>
            <w:hideMark/>
          </w:tcPr>
          <w:p w14:paraId="169CFCA4"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96 U/L</w:t>
            </w:r>
          </w:p>
        </w:tc>
        <w:tc>
          <w:tcPr>
            <w:tcW w:w="0" w:type="auto"/>
            <w:tcBorders>
              <w:left w:val="nil"/>
              <w:right w:val="nil"/>
            </w:tcBorders>
            <w:hideMark/>
          </w:tcPr>
          <w:p w14:paraId="1F94EB2F"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p>
        </w:tc>
      </w:tr>
      <w:tr w:rsidR="00BD381A" w:rsidRPr="00BD381A" w14:paraId="7745C8E9" w14:textId="77777777">
        <w:tc>
          <w:tcPr>
            <w:tcW w:w="0" w:type="auto"/>
            <w:tcBorders>
              <w:left w:val="nil"/>
              <w:right w:val="nil"/>
            </w:tcBorders>
            <w:hideMark/>
          </w:tcPr>
          <w:p w14:paraId="7382C9A8"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Total bilirubin</w:t>
            </w:r>
          </w:p>
        </w:tc>
        <w:tc>
          <w:tcPr>
            <w:tcW w:w="0" w:type="auto"/>
            <w:tcBorders>
              <w:right w:val="nil"/>
            </w:tcBorders>
            <w:hideMark/>
          </w:tcPr>
          <w:p w14:paraId="7B7F2C29"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1.2 mg/dL (20.5 µmol/L)</w:t>
            </w:r>
          </w:p>
        </w:tc>
        <w:tc>
          <w:tcPr>
            <w:tcW w:w="0" w:type="auto"/>
            <w:tcBorders>
              <w:left w:val="nil"/>
              <w:right w:val="nil"/>
            </w:tcBorders>
            <w:hideMark/>
          </w:tcPr>
          <w:p w14:paraId="58CE23F1"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p>
        </w:tc>
      </w:tr>
      <w:tr w:rsidR="00BD381A" w:rsidRPr="00BD381A" w14:paraId="124BBAF7" w14:textId="77777777">
        <w:tc>
          <w:tcPr>
            <w:tcW w:w="0" w:type="auto"/>
            <w:tcBorders>
              <w:left w:val="nil"/>
              <w:right w:val="nil"/>
            </w:tcBorders>
            <w:hideMark/>
          </w:tcPr>
          <w:p w14:paraId="4B399638"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bdr w:val="none" w:sz="0" w:space="0" w:color="auto" w:frame="1"/>
                <w14:ligatures w14:val="none"/>
              </w:rPr>
              <w:t>Lactate</w:t>
            </w:r>
          </w:p>
        </w:tc>
        <w:tc>
          <w:tcPr>
            <w:tcW w:w="0" w:type="auto"/>
            <w:tcBorders>
              <w:right w:val="nil"/>
            </w:tcBorders>
            <w:hideMark/>
          </w:tcPr>
          <w:p w14:paraId="3DA52118" w14:textId="77777777" w:rsidR="00BD381A" w:rsidRDefault="00BD381A" w:rsidP="00BD381A">
            <w:pPr>
              <w:spacing w:after="0"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 xml:space="preserve">3.5 </w:t>
            </w:r>
            <w:proofErr w:type="spellStart"/>
            <w:r w:rsidRPr="00BD381A">
              <w:rPr>
                <w:rFonts w:ascii="Calibri" w:eastAsia="Times New Roman" w:hAnsi="Calibri" w:cs="Calibri"/>
                <w:kern w:val="0"/>
                <w:sz w:val="22"/>
                <w:szCs w:val="22"/>
                <w14:ligatures w14:val="none"/>
              </w:rPr>
              <w:t>mEq</w:t>
            </w:r>
            <w:proofErr w:type="spellEnd"/>
            <w:r w:rsidRPr="00BD381A">
              <w:rPr>
                <w:rFonts w:ascii="Calibri" w:eastAsia="Times New Roman" w:hAnsi="Calibri" w:cs="Calibri"/>
                <w:kern w:val="0"/>
                <w:sz w:val="22"/>
                <w:szCs w:val="22"/>
                <w14:ligatures w14:val="none"/>
              </w:rPr>
              <w:t>/L (3.5 mmol/L)</w:t>
            </w:r>
          </w:p>
          <w:p w14:paraId="29765886" w14:textId="77777777" w:rsidR="003C191C" w:rsidRPr="00BD381A" w:rsidRDefault="003C191C" w:rsidP="00BD381A">
            <w:pPr>
              <w:spacing w:after="0" w:line="240" w:lineRule="auto"/>
              <w:rPr>
                <w:rFonts w:ascii="Calibri" w:eastAsia="Times New Roman" w:hAnsi="Calibri" w:cs="Calibri"/>
                <w:kern w:val="0"/>
                <w:sz w:val="22"/>
                <w:szCs w:val="22"/>
                <w14:ligatures w14:val="none"/>
              </w:rPr>
            </w:pPr>
          </w:p>
          <w:p w14:paraId="7B44BAAE" w14:textId="77777777" w:rsidR="00BD381A" w:rsidRPr="00BD381A" w:rsidRDefault="00BD381A" w:rsidP="00BD381A">
            <w:pPr>
              <w:spacing w:after="0" w:line="240" w:lineRule="auto"/>
              <w:rPr>
                <w:rFonts w:ascii="Calibri" w:eastAsia="Times New Roman" w:hAnsi="Calibri" w:cs="Calibri"/>
                <w:kern w:val="0"/>
                <w:sz w:val="22"/>
                <w:szCs w:val="22"/>
                <w14:ligatures w14:val="none"/>
              </w:rPr>
            </w:pPr>
          </w:p>
        </w:tc>
        <w:tc>
          <w:tcPr>
            <w:tcW w:w="0" w:type="auto"/>
            <w:tcBorders>
              <w:left w:val="nil"/>
              <w:right w:val="nil"/>
            </w:tcBorders>
            <w:hideMark/>
          </w:tcPr>
          <w:p w14:paraId="16BAAB56" w14:textId="77777777" w:rsidR="00BD381A" w:rsidRPr="00BD381A" w:rsidRDefault="00BD381A" w:rsidP="00BD381A">
            <w:pPr>
              <w:shd w:val="clear" w:color="auto" w:fill="DEE2E6"/>
              <w:spacing w:after="0" w:line="240" w:lineRule="auto"/>
              <w:jc w:val="center"/>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H</w:t>
            </w:r>
          </w:p>
        </w:tc>
      </w:tr>
    </w:tbl>
    <w:p w14:paraId="7E505C76" w14:textId="77777777" w:rsidR="00BD381A" w:rsidRPr="00BD381A" w:rsidRDefault="00BD381A" w:rsidP="00BD381A">
      <w:pPr>
        <w:spacing w:after="100" w:afterAutospacing="1" w:line="240" w:lineRule="auto"/>
        <w:rPr>
          <w:rFonts w:ascii="Calibri" w:eastAsia="Times New Roman" w:hAnsi="Calibri" w:cs="Calibri"/>
          <w:kern w:val="0"/>
          <w:sz w:val="22"/>
          <w:szCs w:val="22"/>
          <w14:ligatures w14:val="none"/>
        </w:rPr>
      </w:pPr>
      <w:r w:rsidRPr="00BD381A">
        <w:rPr>
          <w:rFonts w:ascii="Calibri" w:eastAsia="Times New Roman" w:hAnsi="Calibri" w:cs="Calibri"/>
          <w:kern w:val="0"/>
          <w:sz w:val="22"/>
          <w:szCs w:val="22"/>
          <w14:ligatures w14:val="none"/>
        </w:rPr>
        <w:t>Intravenous fluids are administered, and CT of the abdomen is ordered.</w:t>
      </w:r>
    </w:p>
    <w:p w14:paraId="6BF806B0" w14:textId="77777777" w:rsidR="00BD381A" w:rsidRPr="00BD381A" w:rsidRDefault="00BD381A" w:rsidP="00BD381A">
      <w:pPr>
        <w:pBdr>
          <w:bottom w:val="single" w:sz="6" w:space="1" w:color="auto"/>
        </w:pBdr>
        <w:spacing w:after="0" w:line="240" w:lineRule="auto"/>
        <w:jc w:val="center"/>
        <w:rPr>
          <w:rFonts w:ascii="Calibri" w:eastAsia="Times New Roman" w:hAnsi="Calibri" w:cs="Calibri"/>
          <w:vanish/>
          <w:kern w:val="0"/>
          <w:sz w:val="22"/>
          <w:szCs w:val="22"/>
          <w14:ligatures w14:val="none"/>
        </w:rPr>
      </w:pPr>
      <w:r w:rsidRPr="00BD381A">
        <w:rPr>
          <w:rFonts w:ascii="Calibri" w:eastAsia="Times New Roman" w:hAnsi="Calibri" w:cs="Calibri"/>
          <w:vanish/>
          <w:kern w:val="0"/>
          <w:sz w:val="22"/>
          <w:szCs w:val="22"/>
          <w14:ligatures w14:val="none"/>
        </w:rPr>
        <w:t>Top of Form</w:t>
      </w:r>
    </w:p>
    <w:p w14:paraId="25257677" w14:textId="77777777" w:rsidR="00BD381A" w:rsidRPr="00BD381A" w:rsidRDefault="00BD381A" w:rsidP="00BD381A">
      <w:pPr>
        <w:spacing w:after="100" w:afterAutospacing="1"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14:ligatures w14:val="none"/>
        </w:rPr>
        <w:t>Which of the following is the most appropriate next step in management?</w:t>
      </w:r>
    </w:p>
    <w:p w14:paraId="1B704DB1" w14:textId="1868EA97"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A. </w:t>
      </w:r>
      <w:r w:rsidRPr="00BD381A">
        <w:rPr>
          <w:rFonts w:ascii="Calibri" w:eastAsia="Times New Roman" w:hAnsi="Calibri" w:cs="Calibri"/>
          <w:color w:val="181D23"/>
          <w:kern w:val="0"/>
          <w:sz w:val="22"/>
          <w:szCs w:val="22"/>
          <w14:ligatures w14:val="none"/>
        </w:rPr>
        <w:t>Begin norepinephrine</w:t>
      </w:r>
    </w:p>
    <w:p w14:paraId="269D3ED1" w14:textId="619CB582"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B. </w:t>
      </w:r>
      <w:r w:rsidRPr="00BD381A">
        <w:rPr>
          <w:rFonts w:ascii="Calibri" w:eastAsia="Times New Roman" w:hAnsi="Calibri" w:cs="Calibri"/>
          <w:color w:val="181D23"/>
          <w:kern w:val="0"/>
          <w:sz w:val="22"/>
          <w:szCs w:val="22"/>
          <w14:ligatures w14:val="none"/>
        </w:rPr>
        <w:t>Measure procalcitonin level</w:t>
      </w:r>
    </w:p>
    <w:p w14:paraId="20D0B237" w14:textId="5F547893"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C. </w:t>
      </w:r>
      <w:r w:rsidRPr="00BD381A">
        <w:rPr>
          <w:rFonts w:ascii="Calibri" w:eastAsia="Times New Roman" w:hAnsi="Calibri" w:cs="Calibri"/>
          <w:color w:val="181D23"/>
          <w:kern w:val="0"/>
          <w:sz w:val="22"/>
          <w:szCs w:val="22"/>
          <w14:ligatures w14:val="none"/>
        </w:rPr>
        <w:t>Obtain blood cultures</w:t>
      </w:r>
    </w:p>
    <w:p w14:paraId="0151A32E" w14:textId="4CD37D31" w:rsidR="00BD381A" w:rsidRPr="00BD381A" w:rsidRDefault="00BD381A" w:rsidP="00BD381A">
      <w:pPr>
        <w:spacing w:after="0" w:line="240" w:lineRule="auto"/>
        <w:rPr>
          <w:rFonts w:ascii="Calibri" w:eastAsia="Times New Roman" w:hAnsi="Calibri" w:cs="Calibri"/>
          <w:color w:val="181D23"/>
          <w:kern w:val="0"/>
          <w:sz w:val="22"/>
          <w:szCs w:val="22"/>
          <w14:ligatures w14:val="none"/>
        </w:rPr>
      </w:pPr>
      <w:r w:rsidRPr="00BD381A">
        <w:rPr>
          <w:rFonts w:ascii="Calibri" w:eastAsia="Times New Roman" w:hAnsi="Calibri" w:cs="Calibri"/>
          <w:color w:val="181D23"/>
          <w:kern w:val="0"/>
          <w:sz w:val="22"/>
          <w:szCs w:val="22"/>
          <w:bdr w:val="none" w:sz="0" w:space="0" w:color="auto" w:frame="1"/>
          <w14:ligatures w14:val="none"/>
        </w:rPr>
        <w:t xml:space="preserve">D. </w:t>
      </w:r>
      <w:r w:rsidRPr="00BD381A">
        <w:rPr>
          <w:rFonts w:ascii="Calibri" w:eastAsia="Times New Roman" w:hAnsi="Calibri" w:cs="Calibri"/>
          <w:color w:val="181D23"/>
          <w:kern w:val="0"/>
          <w:sz w:val="22"/>
          <w:szCs w:val="22"/>
          <w14:ligatures w14:val="none"/>
        </w:rPr>
        <w:t>Perform echocardiography</w:t>
      </w:r>
    </w:p>
    <w:p w14:paraId="33EDBBDB" w14:textId="77777777" w:rsidR="00BD381A" w:rsidRPr="00BD381A" w:rsidRDefault="00BD381A" w:rsidP="00BD381A">
      <w:pPr>
        <w:pBdr>
          <w:top w:val="single" w:sz="6" w:space="1" w:color="auto"/>
        </w:pBdr>
        <w:spacing w:after="0" w:line="240" w:lineRule="auto"/>
        <w:jc w:val="center"/>
        <w:rPr>
          <w:rFonts w:ascii="Arial" w:eastAsia="Times New Roman" w:hAnsi="Arial" w:cs="Arial"/>
          <w:vanish/>
          <w:kern w:val="0"/>
          <w:sz w:val="16"/>
          <w:szCs w:val="16"/>
          <w14:ligatures w14:val="none"/>
        </w:rPr>
      </w:pPr>
      <w:r w:rsidRPr="00BD381A">
        <w:rPr>
          <w:rFonts w:ascii="Arial" w:eastAsia="Times New Roman" w:hAnsi="Arial" w:cs="Arial"/>
          <w:vanish/>
          <w:kern w:val="0"/>
          <w:sz w:val="16"/>
          <w:szCs w:val="16"/>
          <w14:ligatures w14:val="none"/>
        </w:rPr>
        <w:t>Bottom of Form</w:t>
      </w:r>
    </w:p>
    <w:p w14:paraId="6C6BDA76" w14:textId="77777777" w:rsidR="00BD381A" w:rsidRDefault="00BD381A"/>
    <w:sectPr w:rsidR="00BD381A" w:rsidSect="00100B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81A"/>
    <w:rsid w:val="00100BA5"/>
    <w:rsid w:val="001E11D3"/>
    <w:rsid w:val="00283D01"/>
    <w:rsid w:val="003C191C"/>
    <w:rsid w:val="006C124D"/>
    <w:rsid w:val="00893239"/>
    <w:rsid w:val="009241C5"/>
    <w:rsid w:val="00AC0FC6"/>
    <w:rsid w:val="00BD381A"/>
    <w:rsid w:val="00CC4432"/>
    <w:rsid w:val="00FD1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7AC65E"/>
  <w15:chartTrackingRefBased/>
  <w15:docId w15:val="{09A74511-8199-564D-822A-CB8C59CB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3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3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38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3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3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3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3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3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3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8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38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38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3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3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3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3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3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381A"/>
    <w:rPr>
      <w:rFonts w:eastAsiaTheme="majorEastAsia" w:cstheme="majorBidi"/>
      <w:color w:val="272727" w:themeColor="text1" w:themeTint="D8"/>
    </w:rPr>
  </w:style>
  <w:style w:type="paragraph" w:styleId="Title">
    <w:name w:val="Title"/>
    <w:basedOn w:val="Normal"/>
    <w:next w:val="Normal"/>
    <w:link w:val="TitleChar"/>
    <w:uiPriority w:val="10"/>
    <w:qFormat/>
    <w:rsid w:val="00BD3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8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381A"/>
    <w:pPr>
      <w:spacing w:before="160"/>
      <w:jc w:val="center"/>
    </w:pPr>
    <w:rPr>
      <w:i/>
      <w:iCs/>
      <w:color w:val="404040" w:themeColor="text1" w:themeTint="BF"/>
    </w:rPr>
  </w:style>
  <w:style w:type="character" w:customStyle="1" w:styleId="QuoteChar">
    <w:name w:val="Quote Char"/>
    <w:basedOn w:val="DefaultParagraphFont"/>
    <w:link w:val="Quote"/>
    <w:uiPriority w:val="29"/>
    <w:rsid w:val="00BD381A"/>
    <w:rPr>
      <w:i/>
      <w:iCs/>
      <w:color w:val="404040" w:themeColor="text1" w:themeTint="BF"/>
    </w:rPr>
  </w:style>
  <w:style w:type="paragraph" w:styleId="ListParagraph">
    <w:name w:val="List Paragraph"/>
    <w:basedOn w:val="Normal"/>
    <w:uiPriority w:val="34"/>
    <w:qFormat/>
    <w:rsid w:val="00BD381A"/>
    <w:pPr>
      <w:ind w:left="720"/>
      <w:contextualSpacing/>
    </w:pPr>
  </w:style>
  <w:style w:type="character" w:styleId="IntenseEmphasis">
    <w:name w:val="Intense Emphasis"/>
    <w:basedOn w:val="DefaultParagraphFont"/>
    <w:uiPriority w:val="21"/>
    <w:qFormat/>
    <w:rsid w:val="00BD381A"/>
    <w:rPr>
      <w:i/>
      <w:iCs/>
      <w:color w:val="0F4761" w:themeColor="accent1" w:themeShade="BF"/>
    </w:rPr>
  </w:style>
  <w:style w:type="paragraph" w:styleId="IntenseQuote">
    <w:name w:val="Intense Quote"/>
    <w:basedOn w:val="Normal"/>
    <w:next w:val="Normal"/>
    <w:link w:val="IntenseQuoteChar"/>
    <w:uiPriority w:val="30"/>
    <w:qFormat/>
    <w:rsid w:val="00BD3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381A"/>
    <w:rPr>
      <w:i/>
      <w:iCs/>
      <w:color w:val="0F4761" w:themeColor="accent1" w:themeShade="BF"/>
    </w:rPr>
  </w:style>
  <w:style w:type="character" w:styleId="IntenseReference">
    <w:name w:val="Intense Reference"/>
    <w:basedOn w:val="DefaultParagraphFont"/>
    <w:uiPriority w:val="32"/>
    <w:qFormat/>
    <w:rsid w:val="00BD381A"/>
    <w:rPr>
      <w:b/>
      <w:bCs/>
      <w:smallCaps/>
      <w:color w:val="0F4761" w:themeColor="accent1" w:themeShade="BF"/>
      <w:spacing w:val="5"/>
    </w:rPr>
  </w:style>
  <w:style w:type="paragraph" w:customStyle="1" w:styleId="cell">
    <w:name w:val="cell"/>
    <w:basedOn w:val="Normal"/>
    <w:rsid w:val="00BD381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line-nlv">
    <w:name w:val="inline-nlv"/>
    <w:basedOn w:val="DefaultParagraphFont"/>
    <w:rsid w:val="00BD381A"/>
  </w:style>
  <w:style w:type="paragraph" w:styleId="z-TopofForm">
    <w:name w:val="HTML Top of Form"/>
    <w:basedOn w:val="Normal"/>
    <w:next w:val="Normal"/>
    <w:link w:val="z-TopofFormChar"/>
    <w:hidden/>
    <w:uiPriority w:val="99"/>
    <w:semiHidden/>
    <w:unhideWhenUsed/>
    <w:rsid w:val="00BD381A"/>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BD381A"/>
    <w:rPr>
      <w:rFonts w:ascii="Arial" w:eastAsia="Times New Roman" w:hAnsi="Arial" w:cs="Arial"/>
      <w:vanish/>
      <w:kern w:val="0"/>
      <w:sz w:val="16"/>
      <w:szCs w:val="16"/>
      <w14:ligatures w14:val="none"/>
    </w:rPr>
  </w:style>
  <w:style w:type="character" w:customStyle="1" w:styleId="d-block">
    <w:name w:val="d-block"/>
    <w:basedOn w:val="DefaultParagraphFont"/>
    <w:rsid w:val="00BD381A"/>
  </w:style>
  <w:style w:type="character" w:customStyle="1" w:styleId="visually-hidden">
    <w:name w:val="visually-hidden"/>
    <w:basedOn w:val="DefaultParagraphFont"/>
    <w:rsid w:val="00BD381A"/>
  </w:style>
  <w:style w:type="character" w:customStyle="1" w:styleId="apple-converted-space">
    <w:name w:val="apple-converted-space"/>
    <w:basedOn w:val="DefaultParagraphFont"/>
    <w:rsid w:val="00BD381A"/>
  </w:style>
  <w:style w:type="character" w:customStyle="1" w:styleId="btn">
    <w:name w:val="btn"/>
    <w:basedOn w:val="DefaultParagraphFont"/>
    <w:rsid w:val="00BD381A"/>
  </w:style>
  <w:style w:type="paragraph" w:styleId="z-BottomofForm">
    <w:name w:val="HTML Bottom of Form"/>
    <w:basedOn w:val="Normal"/>
    <w:next w:val="Normal"/>
    <w:link w:val="z-BottomofFormChar"/>
    <w:hidden/>
    <w:uiPriority w:val="99"/>
    <w:semiHidden/>
    <w:unhideWhenUsed/>
    <w:rsid w:val="00BD381A"/>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BD381A"/>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8D4BB0DD32654BB3EAE67DC51DDA01" ma:contentTypeVersion="22" ma:contentTypeDescription="Create a new document." ma:contentTypeScope="" ma:versionID="969a9e3cd84f749d30e522d5816de949">
  <xsd:schema xmlns:xsd="http://www.w3.org/2001/XMLSchema" xmlns:xs="http://www.w3.org/2001/XMLSchema" xmlns:p="http://schemas.microsoft.com/office/2006/metadata/properties" xmlns:ns2="1e4b8c19-7528-4bc4-a3e1-96b236289242" xmlns:ns3="ca5fd80e-f574-42aa-bec0-0d146d76a53a" targetNamespace="http://schemas.microsoft.com/office/2006/metadata/properties" ma:root="true" ma:fieldsID="9bd7f2778f4ef80de202c2b574465e60" ns2:_="" ns3:_="">
    <xsd:import namespace="1e4b8c19-7528-4bc4-a3e1-96b236289242"/>
    <xsd:import namespace="ca5fd80e-f574-42aa-bec0-0d146d76a5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BillingMetadata" minOccurs="0"/>
                <xsd:element ref="ns2:lcf76f155ced4ddcb4097134ff3c332f" minOccurs="0"/>
                <xsd:element ref="ns3:TaxCatchAll" minOccurs="0"/>
                <xsd:element ref="ns2:First_x0020_Name"/>
                <xsd:element ref="ns2:Last_x0020_Name"/>
                <xsd:element ref="ns2:Month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4b8c19-7528-4bc4-a3e1-96b236289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f6945-edb8-4295-8e61-53a2031b2ef7" ma:termSetId="09814cd3-568e-fe90-9814-8d621ff8fb84" ma:anchorId="fba54fb3-c3e1-fe81-a776-ca4b69148c4d" ma:open="true" ma:isKeyword="false">
      <xsd:complexType>
        <xsd:sequence>
          <xsd:element ref="pc:Terms" minOccurs="0" maxOccurs="1"/>
        </xsd:sequence>
      </xsd:complexType>
    </xsd:element>
    <xsd:element name="First_x0020_Name" ma:index="27" ma:displayName="First Name" ma:internalName="First_x0020_Name">
      <xsd:simpleType>
        <xsd:restriction base="dms:Text">
          <xsd:maxLength value="255"/>
        </xsd:restriction>
      </xsd:simpleType>
    </xsd:element>
    <xsd:element name="Last_x0020_Name" ma:index="28" ma:displayName="Last Name" ma:internalName="Last_x0020_Name">
      <xsd:simpleType>
        <xsd:restriction base="dms:Text">
          <xsd:maxLength value="255"/>
        </xsd:restriction>
      </xsd:simpleType>
    </xsd:element>
    <xsd:element name="MonthNumber" ma:index="29" nillable="true" ma:displayName="Month Number" ma:format="Dropdown" ma:internalName="Month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a5fd80e-f574-42aa-bec0-0d146d76a5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a1196bb-9139-48bc-9d2b-e8ddb9462658}" ma:internalName="TaxCatchAll" ma:showField="CatchAllData" ma:web="ca5fd80e-f574-42aa-bec0-0d146d76a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_x0020_Name xmlns="1e4b8c19-7528-4bc4-a3e1-96b236289242"/>
    <TaxCatchAll xmlns="ca5fd80e-f574-42aa-bec0-0d146d76a53a" xsi:nil="true"/>
    <MonthNumber xmlns="1e4b8c19-7528-4bc4-a3e1-96b236289242" xsi:nil="true"/>
    <lcf76f155ced4ddcb4097134ff3c332f xmlns="1e4b8c19-7528-4bc4-a3e1-96b236289242">
      <Terms xmlns="http://schemas.microsoft.com/office/infopath/2007/PartnerControls"/>
    </lcf76f155ced4ddcb4097134ff3c332f>
    <First_x0020_Name xmlns="1e4b8c19-7528-4bc4-a3e1-96b236289242"/>
  </documentManagement>
</p:properties>
</file>

<file path=customXml/itemProps1.xml><?xml version="1.0" encoding="utf-8"?>
<ds:datastoreItem xmlns:ds="http://schemas.openxmlformats.org/officeDocument/2006/customXml" ds:itemID="{3300A24F-6AAB-4F14-94F5-75095DA15477}"/>
</file>

<file path=customXml/itemProps2.xml><?xml version="1.0" encoding="utf-8"?>
<ds:datastoreItem xmlns:ds="http://schemas.openxmlformats.org/officeDocument/2006/customXml" ds:itemID="{83255F8A-654A-44FA-B53C-6C155C29F02B}"/>
</file>

<file path=customXml/itemProps3.xml><?xml version="1.0" encoding="utf-8"?>
<ds:datastoreItem xmlns:ds="http://schemas.openxmlformats.org/officeDocument/2006/customXml" ds:itemID="{D6CD9FBB-F419-488E-9D0D-4371788CD9AD}"/>
</file>

<file path=docProps/app.xml><?xml version="1.0" encoding="utf-8"?>
<Properties xmlns="http://schemas.openxmlformats.org/officeDocument/2006/extended-properties" xmlns:vt="http://schemas.openxmlformats.org/officeDocument/2006/docPropsVTypes">
  <Template>Normal.dotm</Template>
  <TotalTime>0</TotalTime>
  <Pages>3</Pages>
  <Words>840</Words>
  <Characters>4788</Characters>
  <Application>Microsoft Office Word</Application>
  <DocSecurity>0</DocSecurity>
  <Lines>39</Lines>
  <Paragraphs>11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Harper</dc:creator>
  <cp:keywords/>
  <dc:description/>
  <cp:lastModifiedBy>Lise Harper</cp:lastModifiedBy>
  <cp:revision>2</cp:revision>
  <dcterms:created xsi:type="dcterms:W3CDTF">2026-06-27T15:44:00Z</dcterms:created>
  <dcterms:modified xsi:type="dcterms:W3CDTF">2026-06-27T15:44:00Z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0x010100368D4BB0DD32654BB3EAE67DC51DDA01</vt:lpwstr>
  </property>
</Properties>
</file>