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0D7C" w14:textId="17ED498E" w:rsidR="00AC0FC6" w:rsidRPr="00404D82" w:rsidRDefault="00FF28EF" w:rsidP="008E7D38">
      <w:pPr>
        <w:rPr>
          <w:rFonts w:cstheme="minorHAnsi"/>
        </w:rPr>
      </w:pPr>
      <w:r w:rsidRPr="00404D82">
        <w:rPr>
          <w:rFonts w:cstheme="minorHAnsi"/>
        </w:rPr>
        <w:t xml:space="preserve">AHD Objectives </w:t>
      </w:r>
      <w:r w:rsidR="00404D82" w:rsidRPr="00404D82">
        <w:rPr>
          <w:rFonts w:cstheme="minorHAnsi"/>
        </w:rPr>
        <w:t>8/2</w:t>
      </w:r>
      <w:r w:rsidR="00B44E3E" w:rsidRPr="00404D82">
        <w:rPr>
          <w:rFonts w:cstheme="minorHAnsi"/>
        </w:rPr>
        <w:t>/202</w:t>
      </w:r>
      <w:r w:rsidR="00404D82" w:rsidRPr="00404D82">
        <w:rPr>
          <w:rFonts w:cstheme="minorHAnsi"/>
        </w:rPr>
        <w:t>3</w:t>
      </w:r>
    </w:p>
    <w:p w14:paraId="2313A82B" w14:textId="77777777" w:rsidR="007714E9" w:rsidRPr="00404D82" w:rsidRDefault="007714E9" w:rsidP="007714E9">
      <w:pPr>
        <w:rPr>
          <w:rFonts w:cstheme="minorHAnsi"/>
          <w:color w:val="000000"/>
        </w:rPr>
      </w:pPr>
    </w:p>
    <w:p w14:paraId="51040A80" w14:textId="77777777" w:rsidR="007714E9" w:rsidRPr="00404D82" w:rsidRDefault="007714E9" w:rsidP="007714E9">
      <w:pPr>
        <w:pStyle w:val="ListParagraph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2535987" w14:textId="05F29B25" w:rsidR="007714E9" w:rsidRPr="00404D82" w:rsidRDefault="007714E9" w:rsidP="007714E9">
      <w:pPr>
        <w:rPr>
          <w:rFonts w:cstheme="minorHAnsi"/>
          <w:b/>
        </w:rPr>
      </w:pPr>
      <w:r w:rsidRPr="00404D82">
        <w:rPr>
          <w:rFonts w:cstheme="minorHAnsi"/>
          <w:b/>
        </w:rPr>
        <w:t>HIV</w:t>
      </w:r>
    </w:p>
    <w:p w14:paraId="4736915D" w14:textId="77777777" w:rsidR="007714E9" w:rsidRPr="00404D82" w:rsidRDefault="007714E9" w:rsidP="007714E9">
      <w:pPr>
        <w:rPr>
          <w:rFonts w:cstheme="minorHAnsi"/>
          <w:b/>
        </w:rPr>
      </w:pPr>
    </w:p>
    <w:p w14:paraId="229E3882" w14:textId="4D58F6ED" w:rsidR="007714E9" w:rsidRPr="00404D82" w:rsidRDefault="007714E9" w:rsidP="00B44E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04D82">
        <w:rPr>
          <w:rFonts w:asciiTheme="minorHAnsi" w:hAnsiTheme="minorHAnsi" w:cstheme="minorHAnsi"/>
          <w:sz w:val="24"/>
          <w:szCs w:val="24"/>
        </w:rPr>
        <w:t xml:space="preserve">Make a table outlining who should be considered for </w:t>
      </w:r>
      <w:proofErr w:type="spellStart"/>
      <w:r w:rsidRPr="00404D82">
        <w:rPr>
          <w:rFonts w:asciiTheme="minorHAnsi" w:hAnsiTheme="minorHAnsi" w:cstheme="minorHAnsi"/>
          <w:sz w:val="24"/>
          <w:szCs w:val="24"/>
        </w:rPr>
        <w:t>PrEP</w:t>
      </w:r>
      <w:proofErr w:type="spellEnd"/>
      <w:r w:rsidRPr="00404D82">
        <w:rPr>
          <w:rFonts w:asciiTheme="minorHAnsi" w:hAnsiTheme="minorHAnsi" w:cstheme="minorHAnsi"/>
          <w:sz w:val="24"/>
          <w:szCs w:val="24"/>
        </w:rPr>
        <w:t xml:space="preserve"> of the following 3 groups: Men who have sex with men, Heterosexual </w:t>
      </w:r>
      <w:proofErr w:type="gramStart"/>
      <w:r w:rsidRPr="00404D82">
        <w:rPr>
          <w:rFonts w:asciiTheme="minorHAnsi" w:hAnsiTheme="minorHAnsi" w:cstheme="minorHAnsi"/>
          <w:sz w:val="24"/>
          <w:szCs w:val="24"/>
        </w:rPr>
        <w:t>men</w:t>
      </w:r>
      <w:proofErr w:type="gramEnd"/>
      <w:r w:rsidRPr="00404D82">
        <w:rPr>
          <w:rFonts w:asciiTheme="minorHAnsi" w:hAnsiTheme="minorHAnsi" w:cstheme="minorHAnsi"/>
          <w:sz w:val="24"/>
          <w:szCs w:val="24"/>
        </w:rPr>
        <w:t xml:space="preserve"> and women and IV drug users. </w:t>
      </w:r>
    </w:p>
    <w:p w14:paraId="2AEA8A00" w14:textId="77777777" w:rsidR="007714E9" w:rsidRPr="00404D82" w:rsidRDefault="007714E9" w:rsidP="00B44E3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2BCF360" w14:textId="77777777" w:rsidR="007714E9" w:rsidRPr="00404D82" w:rsidRDefault="007714E9" w:rsidP="00B44E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04D82">
        <w:rPr>
          <w:rFonts w:asciiTheme="minorHAnsi" w:hAnsiTheme="minorHAnsi" w:cstheme="minorHAnsi"/>
          <w:sz w:val="24"/>
          <w:szCs w:val="24"/>
        </w:rPr>
        <w:t xml:space="preserve">Describe the clinical syndrome of acute HIV infection. </w:t>
      </w:r>
    </w:p>
    <w:p w14:paraId="25D16765" w14:textId="77777777" w:rsidR="007714E9" w:rsidRPr="00404D82" w:rsidRDefault="007714E9" w:rsidP="00B44E3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D78460A" w14:textId="16C397FB" w:rsidR="007714E9" w:rsidRPr="00404D82" w:rsidRDefault="007714E9" w:rsidP="00B44E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04D82">
        <w:rPr>
          <w:rFonts w:asciiTheme="minorHAnsi" w:hAnsiTheme="minorHAnsi" w:cstheme="minorHAnsi"/>
          <w:sz w:val="24"/>
          <w:szCs w:val="24"/>
        </w:rPr>
        <w:t xml:space="preserve">Describe the indications for antiretroviral therapy (ART). </w:t>
      </w:r>
    </w:p>
    <w:p w14:paraId="3A23CEE4" w14:textId="77777777" w:rsidR="007714E9" w:rsidRPr="00404D82" w:rsidRDefault="007714E9" w:rsidP="00B44E3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AC4D1FB" w14:textId="77777777" w:rsidR="007714E9" w:rsidRPr="00404D82" w:rsidRDefault="007714E9" w:rsidP="00B44E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04D82">
        <w:rPr>
          <w:rFonts w:asciiTheme="minorHAnsi" w:hAnsiTheme="minorHAnsi" w:cstheme="minorHAnsi"/>
          <w:sz w:val="24"/>
          <w:szCs w:val="24"/>
        </w:rPr>
        <w:t xml:space="preserve">Define IRIS syndrome. </w:t>
      </w:r>
    </w:p>
    <w:p w14:paraId="3BB832CC" w14:textId="77777777" w:rsidR="007714E9" w:rsidRPr="00404D82" w:rsidRDefault="007714E9" w:rsidP="00B44E3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48180D2" w14:textId="77777777" w:rsidR="007714E9" w:rsidRPr="00404D82" w:rsidRDefault="007714E9" w:rsidP="00B44E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04D82">
        <w:rPr>
          <w:rFonts w:asciiTheme="minorHAnsi" w:hAnsiTheme="minorHAnsi" w:cstheme="minorHAnsi"/>
          <w:sz w:val="24"/>
          <w:szCs w:val="24"/>
        </w:rPr>
        <w:t xml:space="preserve">Describe the recommendations and regimens for prophylaxis of certain opportunistic infections in patients with low CD4 counts. </w:t>
      </w:r>
    </w:p>
    <w:p w14:paraId="5220E165" w14:textId="631BA07F" w:rsidR="008E7D38" w:rsidRPr="00404D82" w:rsidRDefault="008E7D38" w:rsidP="008E7D38">
      <w:pPr>
        <w:rPr>
          <w:rFonts w:eastAsia="Times New Roman" w:cstheme="minorHAnsi"/>
          <w:color w:val="000000"/>
        </w:rPr>
      </w:pPr>
    </w:p>
    <w:p w14:paraId="7CFA0A2D" w14:textId="77777777" w:rsidR="00404D82" w:rsidRPr="00404D82" w:rsidRDefault="00404D82" w:rsidP="00404D82">
      <w:pPr>
        <w:pStyle w:val="Default"/>
        <w:rPr>
          <w:rFonts w:asciiTheme="minorHAnsi" w:hAnsiTheme="minorHAnsi" w:cstheme="minorHAnsi"/>
        </w:rPr>
      </w:pPr>
    </w:p>
    <w:p w14:paraId="221FE96E" w14:textId="7F15A8CF" w:rsidR="00404D82" w:rsidRPr="00404D82" w:rsidRDefault="00404D82" w:rsidP="00404D82">
      <w:pPr>
        <w:pStyle w:val="Default"/>
        <w:rPr>
          <w:rFonts w:asciiTheme="minorHAnsi" w:hAnsiTheme="minorHAnsi" w:cstheme="minorHAnsi"/>
        </w:rPr>
      </w:pPr>
      <w:r w:rsidRPr="00404D82">
        <w:rPr>
          <w:rFonts w:asciiTheme="minorHAnsi" w:hAnsiTheme="minorHAnsi" w:cstheme="minorHAnsi"/>
        </w:rPr>
        <w:t>Antibiotic stewardship and introduction to antibiotics:</w:t>
      </w:r>
    </w:p>
    <w:p w14:paraId="3D4AE525" w14:textId="77777777" w:rsidR="00404D82" w:rsidRPr="00404D82" w:rsidRDefault="00404D82" w:rsidP="00404D82">
      <w:pPr>
        <w:pStyle w:val="Default"/>
        <w:rPr>
          <w:rFonts w:asciiTheme="minorHAnsi" w:hAnsiTheme="minorHAnsi" w:cstheme="minorHAnsi"/>
        </w:rPr>
      </w:pPr>
    </w:p>
    <w:p w14:paraId="7D45A184" w14:textId="77777777" w:rsidR="00404D82" w:rsidRPr="00404D82" w:rsidRDefault="00404D82" w:rsidP="00404D82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404D82">
        <w:rPr>
          <w:rFonts w:asciiTheme="minorHAnsi" w:hAnsiTheme="minorHAnsi" w:cstheme="minorHAnsi"/>
        </w:rPr>
        <w:t>Describe the recommended duration of antimicrobial therapy for the following disease processes (a range may be appropriate):</w:t>
      </w:r>
    </w:p>
    <w:p w14:paraId="7352466D" w14:textId="77777777" w:rsidR="00404D82" w:rsidRPr="00404D82" w:rsidRDefault="00404D82" w:rsidP="00404D82">
      <w:pPr>
        <w:pStyle w:val="Default"/>
        <w:numPr>
          <w:ilvl w:val="1"/>
          <w:numId w:val="9"/>
        </w:numPr>
        <w:rPr>
          <w:rFonts w:asciiTheme="minorHAnsi" w:hAnsiTheme="minorHAnsi" w:cstheme="minorHAnsi"/>
        </w:rPr>
      </w:pPr>
      <w:r w:rsidRPr="00404D82">
        <w:rPr>
          <w:rFonts w:asciiTheme="minorHAnsi" w:hAnsiTheme="minorHAnsi" w:cstheme="minorHAnsi"/>
        </w:rPr>
        <w:t xml:space="preserve">Community-acquired pneumonia </w:t>
      </w:r>
    </w:p>
    <w:p w14:paraId="3664BF01" w14:textId="77777777" w:rsidR="00404D82" w:rsidRPr="00404D82" w:rsidRDefault="00404D82" w:rsidP="00404D82">
      <w:pPr>
        <w:pStyle w:val="Default"/>
        <w:numPr>
          <w:ilvl w:val="1"/>
          <w:numId w:val="9"/>
        </w:numPr>
        <w:rPr>
          <w:rFonts w:asciiTheme="minorHAnsi" w:hAnsiTheme="minorHAnsi" w:cstheme="minorHAnsi"/>
        </w:rPr>
      </w:pPr>
      <w:r w:rsidRPr="00404D82">
        <w:rPr>
          <w:rFonts w:asciiTheme="minorHAnsi" w:hAnsiTheme="minorHAnsi" w:cstheme="minorHAnsi"/>
        </w:rPr>
        <w:t xml:space="preserve">Hospital acquired </w:t>
      </w:r>
      <w:proofErr w:type="gramStart"/>
      <w:r w:rsidRPr="00404D82">
        <w:rPr>
          <w:rFonts w:asciiTheme="minorHAnsi" w:hAnsiTheme="minorHAnsi" w:cstheme="minorHAnsi"/>
        </w:rPr>
        <w:t>pneumonia</w:t>
      </w:r>
      <w:proofErr w:type="gramEnd"/>
      <w:r w:rsidRPr="00404D82">
        <w:rPr>
          <w:rFonts w:asciiTheme="minorHAnsi" w:hAnsiTheme="minorHAnsi" w:cstheme="minorHAnsi"/>
        </w:rPr>
        <w:t xml:space="preserve"> </w:t>
      </w:r>
    </w:p>
    <w:p w14:paraId="5200697F" w14:textId="77777777" w:rsidR="00404D82" w:rsidRPr="00404D82" w:rsidRDefault="00404D82" w:rsidP="00404D82">
      <w:pPr>
        <w:pStyle w:val="Default"/>
        <w:numPr>
          <w:ilvl w:val="1"/>
          <w:numId w:val="9"/>
        </w:numPr>
        <w:rPr>
          <w:rFonts w:asciiTheme="minorHAnsi" w:hAnsiTheme="minorHAnsi" w:cstheme="minorHAnsi"/>
        </w:rPr>
      </w:pPr>
      <w:r w:rsidRPr="00404D82">
        <w:rPr>
          <w:rFonts w:asciiTheme="minorHAnsi" w:hAnsiTheme="minorHAnsi" w:cstheme="minorHAnsi"/>
        </w:rPr>
        <w:t xml:space="preserve">Simple cystitis </w:t>
      </w:r>
    </w:p>
    <w:p w14:paraId="74DC08B2" w14:textId="77777777" w:rsidR="00404D82" w:rsidRPr="00404D82" w:rsidRDefault="00404D82" w:rsidP="00404D82">
      <w:pPr>
        <w:pStyle w:val="Default"/>
        <w:numPr>
          <w:ilvl w:val="1"/>
          <w:numId w:val="9"/>
        </w:numPr>
        <w:rPr>
          <w:rFonts w:asciiTheme="minorHAnsi" w:hAnsiTheme="minorHAnsi" w:cstheme="minorHAnsi"/>
        </w:rPr>
      </w:pPr>
      <w:r w:rsidRPr="00404D82">
        <w:rPr>
          <w:rFonts w:asciiTheme="minorHAnsi" w:hAnsiTheme="minorHAnsi" w:cstheme="minorHAnsi"/>
        </w:rPr>
        <w:t xml:space="preserve">Pyelonephritis </w:t>
      </w:r>
    </w:p>
    <w:p w14:paraId="38469385" w14:textId="77777777" w:rsidR="00404D82" w:rsidRPr="00404D82" w:rsidRDefault="00404D82" w:rsidP="00404D82">
      <w:pPr>
        <w:pStyle w:val="Default"/>
        <w:ind w:left="1440"/>
        <w:rPr>
          <w:rFonts w:asciiTheme="minorHAnsi" w:hAnsiTheme="minorHAnsi" w:cstheme="minorHAnsi"/>
        </w:rPr>
      </w:pPr>
    </w:p>
    <w:p w14:paraId="06961CBA" w14:textId="77777777" w:rsidR="00404D82" w:rsidRPr="00404D82" w:rsidRDefault="00404D82" w:rsidP="00404D82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404D82">
        <w:rPr>
          <w:rFonts w:asciiTheme="minorHAnsi" w:hAnsiTheme="minorHAnsi" w:cstheme="minorHAnsi"/>
        </w:rPr>
        <w:t>What are factors that suggest readiness for conversion from IV to oral antibiotics in appropriate circumstances?</w:t>
      </w:r>
    </w:p>
    <w:p w14:paraId="47D8C304" w14:textId="77777777" w:rsidR="00404D82" w:rsidRPr="00404D82" w:rsidRDefault="00404D82" w:rsidP="00404D82">
      <w:pPr>
        <w:pStyle w:val="Default"/>
        <w:ind w:left="720"/>
        <w:rPr>
          <w:rFonts w:asciiTheme="minorHAnsi" w:hAnsiTheme="minorHAnsi" w:cstheme="minorHAnsi"/>
        </w:rPr>
      </w:pPr>
    </w:p>
    <w:p w14:paraId="61BE5A2D" w14:textId="77777777" w:rsidR="00404D82" w:rsidRPr="00404D82" w:rsidRDefault="00404D82" w:rsidP="00404D82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404D82">
        <w:rPr>
          <w:rFonts w:asciiTheme="minorHAnsi" w:hAnsiTheme="minorHAnsi" w:cstheme="minorHAnsi"/>
        </w:rPr>
        <w:t>List antibiotics with anti-MRSA coverage, including IV and PO options.</w:t>
      </w:r>
    </w:p>
    <w:p w14:paraId="5E965580" w14:textId="77777777" w:rsidR="00404D82" w:rsidRPr="00404D82" w:rsidRDefault="00404D82" w:rsidP="00404D8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85AF195" w14:textId="77777777" w:rsidR="00404D82" w:rsidRPr="00404D82" w:rsidRDefault="00404D82" w:rsidP="00404D82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404D82">
        <w:rPr>
          <w:rFonts w:asciiTheme="minorHAnsi" w:hAnsiTheme="minorHAnsi" w:cstheme="minorHAnsi"/>
        </w:rPr>
        <w:t>List antibiotics with anti-pseudomonal coverage.</w:t>
      </w:r>
    </w:p>
    <w:p w14:paraId="4A9DDA7F" w14:textId="77777777" w:rsidR="00FF28EF" w:rsidRPr="007714E9" w:rsidRDefault="00FF28EF">
      <w:pPr>
        <w:rPr>
          <w:rFonts w:cstheme="minorHAnsi"/>
          <w:sz w:val="20"/>
          <w:szCs w:val="20"/>
        </w:rPr>
      </w:pPr>
    </w:p>
    <w:sectPr w:rsidR="00FF28EF" w:rsidRPr="007714E9" w:rsidSect="0010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B2B"/>
    <w:multiLevelType w:val="hybridMultilevel"/>
    <w:tmpl w:val="F3C2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6852"/>
    <w:multiLevelType w:val="hybridMultilevel"/>
    <w:tmpl w:val="D55A9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8028F"/>
    <w:multiLevelType w:val="hybridMultilevel"/>
    <w:tmpl w:val="AC8AA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35998"/>
    <w:multiLevelType w:val="hybridMultilevel"/>
    <w:tmpl w:val="F7B6A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A3C4C"/>
    <w:multiLevelType w:val="hybridMultilevel"/>
    <w:tmpl w:val="300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2854"/>
    <w:multiLevelType w:val="hybridMultilevel"/>
    <w:tmpl w:val="C666C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0372"/>
    <w:multiLevelType w:val="hybridMultilevel"/>
    <w:tmpl w:val="0D78F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4F1642"/>
    <w:multiLevelType w:val="hybridMultilevel"/>
    <w:tmpl w:val="3588E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A00D6"/>
    <w:multiLevelType w:val="hybridMultilevel"/>
    <w:tmpl w:val="436E45F8"/>
    <w:lvl w:ilvl="0" w:tplc="A41C2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49005">
    <w:abstractNumId w:val="0"/>
  </w:num>
  <w:num w:numId="2" w16cid:durableId="59593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2250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3332076">
    <w:abstractNumId w:val="3"/>
  </w:num>
  <w:num w:numId="5" w16cid:durableId="469396942">
    <w:abstractNumId w:val="6"/>
  </w:num>
  <w:num w:numId="6" w16cid:durableId="603538253">
    <w:abstractNumId w:val="5"/>
  </w:num>
  <w:num w:numId="7" w16cid:durableId="1531337836">
    <w:abstractNumId w:val="7"/>
  </w:num>
  <w:num w:numId="8" w16cid:durableId="993870073">
    <w:abstractNumId w:val="8"/>
  </w:num>
  <w:num w:numId="9" w16cid:durableId="1362239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EF"/>
    <w:rsid w:val="00100BA5"/>
    <w:rsid w:val="001C1A7D"/>
    <w:rsid w:val="001E11D3"/>
    <w:rsid w:val="00404D82"/>
    <w:rsid w:val="0068022F"/>
    <w:rsid w:val="006C124D"/>
    <w:rsid w:val="006D2951"/>
    <w:rsid w:val="007714E9"/>
    <w:rsid w:val="007E63D4"/>
    <w:rsid w:val="008E7D38"/>
    <w:rsid w:val="00A457C2"/>
    <w:rsid w:val="00AC0FC6"/>
    <w:rsid w:val="00B41DB0"/>
    <w:rsid w:val="00B44E3E"/>
    <w:rsid w:val="00DE4487"/>
    <w:rsid w:val="00ED6935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51D13"/>
  <w15:chartTrackingRefBased/>
  <w15:docId w15:val="{4B4E8287-26B6-6648-B20B-DFF73DD6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8EF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04D8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2023-07-27T14:22:00Z</dcterms:created>
  <dcterms:modified xsi:type="dcterms:W3CDTF">2023-07-27T14:22:00Z</dcterms:modified>
</cp:coreProperties>
</file>