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D5208D" w14:textId="71104993" w:rsidR="009F2CCF" w:rsidRDefault="009F2CCF" w:rsidP="009F2CCF">
      <w:pPr>
        <w:spacing w:after="0" w:line="240" w:lineRule="auto"/>
        <w:jc w:val="center"/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</w:pPr>
      <w:r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  <w:t>September 1, 2026 AHD Learning Objectives</w:t>
      </w:r>
    </w:p>
    <w:p w14:paraId="232C0921" w14:textId="77777777" w:rsidR="009F2CCF" w:rsidRDefault="009F2CCF" w:rsidP="009F2CCF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</w:pPr>
    </w:p>
    <w:p w14:paraId="3D7D24AC" w14:textId="564EAC12" w:rsidR="009F2CCF" w:rsidRPr="009F2CCF" w:rsidRDefault="009F2CCF" w:rsidP="009F2CCF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  <w:t>Acute Leukemia:</w:t>
      </w:r>
    </w:p>
    <w:p w14:paraId="04F49FA6" w14:textId="77777777" w:rsidR="009F2CCF" w:rsidRPr="009F2CCF" w:rsidRDefault="009F2CCF" w:rsidP="009F2CCF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Identify and select immediate management for acute leukemia complications including tumor lysis syndrome, </w:t>
      </w:r>
      <w:proofErr w:type="spellStart"/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leukostasis</w:t>
      </w:r>
      <w:proofErr w:type="spellEnd"/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, and disseminated intravascular coagulation (DIC).</w:t>
      </w:r>
    </w:p>
    <w:p w14:paraId="379D4985" w14:textId="77777777" w:rsidR="009F2CCF" w:rsidRPr="009F2CCF" w:rsidRDefault="009F2CCF" w:rsidP="009F2CCF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Order and interpret the correct initial laboratory studies including a complete blood count with differential, peripheral blood smear, DIC panel, and comprehensive metabolic panel.</w:t>
      </w:r>
    </w:p>
    <w:p w14:paraId="281A3F38" w14:textId="77777777" w:rsidR="009F2CCF" w:rsidRPr="009F2CCF" w:rsidRDefault="009F2CCF" w:rsidP="009F2CCF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Differentiate between Acute Myeloid Leukemia (AML), Acute Promyelocytic Leukemia (APL), and Acute Lymphoblastic Leukemia (ALL) based on pathologic features and ancillary testing. </w:t>
      </w:r>
    </w:p>
    <w:p w14:paraId="11F82143" w14:textId="77777777" w:rsidR="009F2CCF" w:rsidRPr="009F2CCF" w:rsidRDefault="009F2CCF" w:rsidP="009F2CCF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Understand the impact of flow cytometry, cytogenetics, and molecular testing (</w:t>
      </w:r>
      <w:proofErr w:type="spellStart"/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eg.</w:t>
      </w:r>
      <w:proofErr w:type="spellEnd"/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FLT3, NPM1, BCR-ABL1) for diagnosis, risk stratification, and treatment.</w:t>
      </w:r>
    </w:p>
    <w:p w14:paraId="7720B99D" w14:textId="77777777" w:rsidR="009F2CCF" w:rsidRPr="009F2CCF" w:rsidRDefault="009F2CCF" w:rsidP="009F2CCF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Select appropriate transfusion strategies for initial management of the patient with acute leukemia</w:t>
      </w:r>
    </w:p>
    <w:p w14:paraId="3D7DB7AB" w14:textId="77777777" w:rsidR="009F2CCF" w:rsidRPr="009F2CCF" w:rsidRDefault="009F2CCF" w:rsidP="009F2CCF">
      <w:pPr>
        <w:numPr>
          <w:ilvl w:val="0"/>
          <w:numId w:val="1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Outline the conceptual differences between induction, consolidation, and maintenance therapy as well as the role of hematopoietic stem cell transplantation.</w:t>
      </w:r>
    </w:p>
    <w:p w14:paraId="57316B08" w14:textId="77777777" w:rsidR="00047796" w:rsidRDefault="00047796"/>
    <w:p w14:paraId="11403229" w14:textId="6946E852" w:rsidR="009F2CCF" w:rsidRPr="009F2CCF" w:rsidRDefault="009F2CCF" w:rsidP="009F2CCF">
      <w:pPr>
        <w:rPr>
          <w:b/>
          <w:bCs/>
          <w:u w:val="single"/>
        </w:rPr>
      </w:pPr>
      <w:r w:rsidRPr="009F2CCF">
        <w:rPr>
          <w:b/>
          <w:bCs/>
          <w:u w:val="single"/>
        </w:rPr>
        <w:t>Myeloproliferative Neoplasms</w:t>
      </w:r>
      <w:r>
        <w:rPr>
          <w:b/>
          <w:bCs/>
          <w:u w:val="single"/>
        </w:rPr>
        <w:t>:</w:t>
      </w:r>
    </w:p>
    <w:p w14:paraId="66D0FC86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Understand that MPNs arise from acquired mutations in hematopoietic progenitors leading to overproduction of mature blood elements.</w:t>
      </w:r>
    </w:p>
    <w:p w14:paraId="7A749245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Recognize the diagnostic and prognostic impact of </w:t>
      </w:r>
      <w:r w:rsidRPr="009F2CCF">
        <w:rPr>
          <w:rFonts w:ascii="Aptos" w:eastAsia="Times New Roman" w:hAnsi="Aptos" w:cs="Times New Roman"/>
          <w:i/>
          <w:iCs/>
          <w:color w:val="212121"/>
          <w:kern w:val="0"/>
          <w14:ligatures w14:val="none"/>
        </w:rPr>
        <w:t>JAK2 V617F, CALR</w:t>
      </w: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, and </w:t>
      </w:r>
      <w:r w:rsidRPr="009F2CCF">
        <w:rPr>
          <w:rFonts w:ascii="Aptos" w:eastAsia="Times New Roman" w:hAnsi="Aptos" w:cs="Times New Roman"/>
          <w:i/>
          <w:iCs/>
          <w:color w:val="212121"/>
          <w:kern w:val="0"/>
          <w14:ligatures w14:val="none"/>
        </w:rPr>
        <w:t>MPL</w:t>
      </w: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 mutations in MPNs</w:t>
      </w:r>
    </w:p>
    <w:p w14:paraId="651C48FD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Identify the thrombotic risk associated with MPNs and concurrent hyperviscosity, common constitutional symptoms (fatigue, night sweats, weight loss) and extramedullary hematopoiesis causing organomegaly.</w:t>
      </w:r>
    </w:p>
    <w:p w14:paraId="09290FB8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Suspect MPNs as a contributor to arterial or venous thromboembolism in unusual sites like Budd-Chiari syndrome and other splanchnic thromboses.</w:t>
      </w:r>
    </w:p>
    <w:p w14:paraId="074CB859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Distinguish primary polycythemia/thrombocytosis from reactive (secondary) causes such as overproduction due to hypoxia, inflammation, or iron deficiency.</w:t>
      </w:r>
    </w:p>
    <w:p w14:paraId="2548F225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Recognize treatment for MPNs including phlebotomy, aspirin and cytoreductive therapies such as hydroxyurea, pegylated interferon, and ruxolitinib. </w:t>
      </w:r>
    </w:p>
    <w:p w14:paraId="7A7E37AD" w14:textId="77777777" w:rsidR="009F2CCF" w:rsidRPr="009F2CCF" w:rsidRDefault="009F2CCF" w:rsidP="009F2CCF">
      <w:pPr>
        <w:numPr>
          <w:ilvl w:val="0"/>
          <w:numId w:val="2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:sz w:val="20"/>
          <w:szCs w:val="2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Recognize disease progression and transformation to myelofibrosis or acute leukemia. </w:t>
      </w:r>
    </w:p>
    <w:p w14:paraId="213A6D0A" w14:textId="77777777" w:rsidR="009F2CCF" w:rsidRDefault="009F2CCF" w:rsidP="009F2CCF">
      <w:p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4D4C549D" w14:textId="6F4C9D99" w:rsidR="009F2CCF" w:rsidRDefault="009F2CCF" w:rsidP="009F2CCF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</w:pPr>
      <w:r w:rsidRPr="009F2CCF"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  <w:t>Transfusions:</w:t>
      </w:r>
    </w:p>
    <w:p w14:paraId="319E95B5" w14:textId="766E359B" w:rsidR="009F2CCF" w:rsidRPr="009F2CCF" w:rsidRDefault="009F2CCF" w:rsidP="009F2CCF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Select the appropriate blood products (RBCs, platelets, fresh frozen plasma, or cryoprecipitate) based on specific clinical scenarios such as active hemorrhage, severe thrombocytopenia, or coagulopathy.</w:t>
      </w:r>
    </w:p>
    <w:p w14:paraId="2BE220F7" w14:textId="2A94F840" w:rsidR="009F2CCF" w:rsidRPr="009F2CCF" w:rsidRDefault="009F2CCF" w:rsidP="009F2CCF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Identify clinical indications for modified blood products including irradiated, washed, or </w:t>
      </w:r>
      <w:proofErr w:type="spellStart"/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leukoreduced</w:t>
      </w:r>
      <w:proofErr w:type="spellEnd"/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 xml:space="preserve"> products.</w:t>
      </w:r>
    </w:p>
    <w:p w14:paraId="1D175FE6" w14:textId="3225C904" w:rsidR="009F2CCF" w:rsidRPr="009F2CCF" w:rsidRDefault="009F2CCF" w:rsidP="009F2CCF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lastRenderedPageBreak/>
        <w:t>Apply evidence-based restrictive hemoglobin thresholds (typically &lt;7 g/dL) for red cell transfusions in hemodynamically stable patients without chronic anemia/bone marrow disorders.</w:t>
      </w:r>
    </w:p>
    <w:p w14:paraId="24C6CEED" w14:textId="731E1211" w:rsidR="009F2CCF" w:rsidRPr="009F2CCF" w:rsidRDefault="009F2CCF" w:rsidP="009F2CCF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Interpret the clinical significance of a type and screen, type and crossmatch, and the implications of unexpected red blood cell antibodies.</w:t>
      </w:r>
    </w:p>
    <w:p w14:paraId="79FD21CD" w14:textId="406CD00F" w:rsidR="009F2CCF" w:rsidRPr="009F2CCF" w:rsidRDefault="009F2CCF" w:rsidP="009F2CCF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Differentiate between acute transfusion reactions including febrile non-hemolytic, allergic, anaphylactic, acute hemolytic and septic reactions.</w:t>
      </w:r>
    </w:p>
    <w:p w14:paraId="7F06AF27" w14:textId="49885F33" w:rsidR="009F2CCF" w:rsidRPr="009F2CCF" w:rsidRDefault="009F2CCF" w:rsidP="009F2CCF">
      <w:pPr>
        <w:pStyle w:val="ListParagraph"/>
        <w:numPr>
          <w:ilvl w:val="0"/>
          <w:numId w:val="6"/>
        </w:numPr>
        <w:spacing w:after="0" w:line="240" w:lineRule="auto"/>
        <w:rPr>
          <w:rFonts w:ascii="Aptos" w:eastAsia="Times New Roman" w:hAnsi="Aptos" w:cs="Times New Roman"/>
          <w:color w:val="212121"/>
          <w:kern w:val="0"/>
          <w14:ligatures w14:val="none"/>
        </w:rPr>
      </w:pPr>
      <w:r w:rsidRPr="009F2CCF">
        <w:rPr>
          <w:rFonts w:ascii="Aptos" w:eastAsia="Times New Roman" w:hAnsi="Aptos" w:cs="Times New Roman"/>
          <w:color w:val="212121"/>
          <w:kern w:val="0"/>
          <w14:ligatures w14:val="none"/>
        </w:rPr>
        <w:t>Distinguish between Transfusion-Related Acute Lung Injury (TRALI) and Transfusion- Associated Circulatory Overload (TACO) using clinical presentation, volume status, and timing.</w:t>
      </w:r>
    </w:p>
    <w:p w14:paraId="74489147" w14:textId="77777777" w:rsidR="009F2CCF" w:rsidRPr="009F2CCF" w:rsidRDefault="009F2CCF" w:rsidP="009F2CCF">
      <w:pPr>
        <w:spacing w:after="0" w:line="240" w:lineRule="auto"/>
        <w:rPr>
          <w:rFonts w:ascii="Aptos" w:eastAsia="Times New Roman" w:hAnsi="Aptos" w:cs="Times New Roman"/>
          <w:b/>
          <w:bCs/>
          <w:color w:val="212121"/>
          <w:kern w:val="0"/>
          <w:u w:val="single"/>
          <w14:ligatures w14:val="none"/>
        </w:rPr>
      </w:pPr>
    </w:p>
    <w:p w14:paraId="572AD791" w14:textId="6D701F3A" w:rsidR="009F2CCF" w:rsidRPr="009F2CCF" w:rsidRDefault="009F2CCF" w:rsidP="009F2CCF">
      <w:pPr>
        <w:spacing w:after="0" w:line="240" w:lineRule="auto"/>
        <w:ind w:firstLine="40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219CA8EC" w14:textId="34AE3D92" w:rsidR="009F2CCF" w:rsidRPr="009F2CCF" w:rsidRDefault="009F2CCF" w:rsidP="009F2CCF">
      <w:pPr>
        <w:spacing w:after="0" w:line="240" w:lineRule="auto"/>
        <w:ind w:firstLine="40"/>
        <w:rPr>
          <w:rFonts w:ascii="Aptos" w:eastAsia="Times New Roman" w:hAnsi="Aptos" w:cs="Times New Roman"/>
          <w:color w:val="212121"/>
          <w:kern w:val="0"/>
          <w14:ligatures w14:val="none"/>
        </w:rPr>
      </w:pPr>
    </w:p>
    <w:p w14:paraId="525CF0E7" w14:textId="77777777" w:rsidR="009F2CCF" w:rsidRPr="009F2CCF" w:rsidRDefault="009F2CCF">
      <w:pPr>
        <w:rPr>
          <w:b/>
          <w:bCs/>
          <w:u w:val="single"/>
        </w:rPr>
      </w:pPr>
    </w:p>
    <w:sectPr w:rsidR="009F2CCF" w:rsidRPr="009F2CCF" w:rsidSect="00374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C2402B"/>
    <w:multiLevelType w:val="multilevel"/>
    <w:tmpl w:val="E1F29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CD0BE1"/>
    <w:multiLevelType w:val="multilevel"/>
    <w:tmpl w:val="E1F29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7592D67"/>
    <w:multiLevelType w:val="multilevel"/>
    <w:tmpl w:val="21D0A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9C5C92"/>
    <w:multiLevelType w:val="multilevel"/>
    <w:tmpl w:val="E1F29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87C50F4"/>
    <w:multiLevelType w:val="multilevel"/>
    <w:tmpl w:val="E1F29E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81942FF"/>
    <w:multiLevelType w:val="multilevel"/>
    <w:tmpl w:val="CB60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27310475">
    <w:abstractNumId w:val="2"/>
  </w:num>
  <w:num w:numId="2" w16cid:durableId="1445924081">
    <w:abstractNumId w:val="3"/>
  </w:num>
  <w:num w:numId="3" w16cid:durableId="1327902170">
    <w:abstractNumId w:val="5"/>
  </w:num>
  <w:num w:numId="4" w16cid:durableId="1172841774">
    <w:abstractNumId w:val="1"/>
  </w:num>
  <w:num w:numId="5" w16cid:durableId="1319573240">
    <w:abstractNumId w:val="4"/>
  </w:num>
  <w:num w:numId="6" w16cid:durableId="20610069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CCF"/>
    <w:rsid w:val="00047796"/>
    <w:rsid w:val="00371DD9"/>
    <w:rsid w:val="003748B3"/>
    <w:rsid w:val="004D48E2"/>
    <w:rsid w:val="008D4061"/>
    <w:rsid w:val="009F2CCF"/>
    <w:rsid w:val="00B6416E"/>
    <w:rsid w:val="00D305C7"/>
    <w:rsid w:val="00F1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6ED874"/>
  <w15:chartTrackingRefBased/>
  <w15:docId w15:val="{E2B1BBD0-5A34-1741-8399-F4E7E798E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2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2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2C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2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2C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2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2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2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2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2C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2C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2C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2C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2C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2C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2C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2C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2C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2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2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2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2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2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2C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2C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2C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2C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2C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2CCF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9F2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444</Words>
  <Characters>2532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Shinar</dc:creator>
  <cp:keywords/>
  <dc:description/>
  <cp:lastModifiedBy>Ron Shinar</cp:lastModifiedBy>
  <cp:revision>1</cp:revision>
  <dcterms:created xsi:type="dcterms:W3CDTF">2026-08-31T18:09:00Z</dcterms:created>
  <dcterms:modified xsi:type="dcterms:W3CDTF">2026-08-31T18:12:00Z</dcterms:modified>
</cp:coreProperties>
</file>