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D8D3" w14:textId="511D6B84" w:rsidR="00AC0FC6" w:rsidRDefault="008C6A13">
      <w:r>
        <w:t>Hepatitis, ACP MKSAP</w:t>
      </w:r>
    </w:p>
    <w:p w14:paraId="41AEE68B" w14:textId="77777777" w:rsidR="008C6A13" w:rsidRPr="008C6A13" w:rsidRDefault="008C6A13" w:rsidP="008C6A13">
      <w:pPr>
        <w:shd w:val="clear" w:color="auto" w:fill="FFFFFF"/>
        <w:spacing w:after="100" w:afterAutospacing="1" w:line="240" w:lineRule="auto"/>
        <w:outlineLvl w:val="4"/>
        <w:rPr>
          <w:rFonts w:ascii="Open Sans" w:eastAsia="Times New Roman" w:hAnsi="Open Sans" w:cs="Open Sans"/>
          <w:color w:val="181D23"/>
          <w:kern w:val="0"/>
          <w:sz w:val="20"/>
          <w:szCs w:val="20"/>
          <w14:ligatures w14:val="none"/>
        </w:rPr>
      </w:pPr>
      <w:r w:rsidRPr="008C6A13">
        <w:rPr>
          <w:rFonts w:ascii="Open Sans" w:eastAsia="Times New Roman" w:hAnsi="Open Sans" w:cs="Open Sans"/>
          <w:color w:val="181D23"/>
          <w:kern w:val="0"/>
          <w:sz w:val="20"/>
          <w:szCs w:val="20"/>
          <w14:ligatures w14:val="none"/>
        </w:rPr>
        <w:t>Key Points</w:t>
      </w:r>
    </w:p>
    <w:p w14:paraId="6DCF2B8C" w14:textId="77777777" w:rsidR="008C6A13" w:rsidRPr="008C6A13" w:rsidRDefault="008C6A13" w:rsidP="008C6A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All adults age 18 years and older should be screened at least once in a lifetime for chronic hepatitis B virus (HBV) with hepatitis B surface antigen, antibody to hepatitis B surface antigen, and antibody to hepatitis B core antigen.</w:t>
      </w:r>
    </w:p>
    <w:p w14:paraId="3FC69DE2" w14:textId="77777777" w:rsidR="008C6A13" w:rsidRPr="008C6A13" w:rsidRDefault="008C6A13" w:rsidP="008C6A1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Patients with chronic HBV infection or resolved HBV infection who receive immunosuppression may require antiviral prophylaxis to prevent reactivation.</w:t>
      </w:r>
    </w:p>
    <w:p w14:paraId="41A3C2E4"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Hepatitis B virus (HBV) is a DNA virus affecting 296 million persons worldwide. See </w:t>
      </w:r>
      <w:hyperlink r:id="rId5" w:history="1">
        <w:r w:rsidRPr="008C6A13">
          <w:rPr>
            <w:rFonts w:ascii="inherit" w:eastAsia="Times New Roman" w:hAnsi="inherit" w:cs="Times New Roman"/>
            <w:color w:val="0063BE"/>
            <w:kern w:val="0"/>
            <w:u w:val="single"/>
            <w:bdr w:val="none" w:sz="0" w:space="0" w:color="auto" w:frame="1"/>
            <w14:ligatures w14:val="none"/>
          </w:rPr>
          <w:t>Hepatitis B in Foundations of Clinical Practice</w:t>
        </w:r>
      </w:hyperlink>
      <w:r w:rsidRPr="008C6A13">
        <w:rPr>
          <w:rFonts w:ascii="Times New Roman" w:eastAsia="Times New Roman" w:hAnsi="Times New Roman" w:cs="Times New Roman"/>
          <w:kern w:val="0"/>
          <w14:ligatures w14:val="none"/>
        </w:rPr>
        <w:t> for HBV vaccination strategies. HBV can be transmitted in the following ways:</w:t>
      </w:r>
    </w:p>
    <w:p w14:paraId="42786BDC" w14:textId="77777777" w:rsidR="008C6A13" w:rsidRPr="008C6A13" w:rsidRDefault="008C6A13" w:rsidP="008C6A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Perinatally</w:t>
      </w:r>
    </w:p>
    <w:p w14:paraId="20CEB842" w14:textId="77777777" w:rsidR="008C6A13" w:rsidRPr="008C6A13" w:rsidRDefault="008C6A13" w:rsidP="008C6A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Sexual exposure</w:t>
      </w:r>
    </w:p>
    <w:p w14:paraId="357F6D94" w14:textId="77777777" w:rsidR="008C6A13" w:rsidRPr="008C6A13" w:rsidRDefault="008C6A13" w:rsidP="008C6A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Direct contact with blood</w:t>
      </w:r>
    </w:p>
    <w:p w14:paraId="749BAA0B" w14:textId="77777777" w:rsidR="008C6A13" w:rsidRPr="008C6A13" w:rsidRDefault="008C6A13" w:rsidP="008C6A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Percutaneous exposure</w:t>
      </w:r>
    </w:p>
    <w:p w14:paraId="12D75BB0"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Acute HBV infection may present as symptomatic acute hepatitis. Approximately 30% of adults may develop jaundice from acute infection, with aminotransferase levels as high as 3000 U/L and nonspecific symptoms (e.g., malaise, nausea, and right-upper-quadrant pain). Acute liver failure develops in approximately 0.5% of patients.</w:t>
      </w:r>
    </w:p>
    <w:p w14:paraId="6AE533CB"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Chronic HBV infection is diagnosed after 6 months in patients with persistent hepatitis B surface antigen (HBsAg) detected in serum. The risk for chronic HBV infection decreases with age at time of infection: newborns acquiring HBV have the highest risk (90%), whereas adults have an approximately 5% risk. Screening for chronic HBV infection with HBsAg, antibody to hepatitis B surface antigen (anti-HBs), and antibody to hepatitis B core antigen (HBc) should be performed in all adults age 18 years and older at least once in a lifetime and in all pregnant individuals during the first trimester of each pregnancy, regardless of vaccination status or previous HBV testing history. Rescreening is recommended in persons with risk factors and before initiation of immunosuppressive or cytotoxic therapy (</w:t>
      </w:r>
      <w:hyperlink r:id="rId6" w:history="1">
        <w:r w:rsidRPr="008C6A13">
          <w:rPr>
            <w:rFonts w:ascii="inherit" w:eastAsia="Times New Roman" w:hAnsi="inherit" w:cs="Times New Roman"/>
            <w:color w:val="0063BE"/>
            <w:kern w:val="0"/>
            <w:u w:val="single"/>
            <w:bdr w:val="none" w:sz="0" w:space="0" w:color="auto" w:frame="1"/>
            <w14:ligatures w14:val="none"/>
          </w:rPr>
          <w:t>Table: Indications for HBV Screening and Testing</w:t>
        </w:r>
      </w:hyperlink>
      <w:r w:rsidRPr="008C6A13">
        <w:rPr>
          <w:rFonts w:ascii="Times New Roman" w:eastAsia="Times New Roman" w:hAnsi="Times New Roman" w:cs="Times New Roman"/>
          <w:kern w:val="0"/>
          <w14:ligatures w14:val="none"/>
        </w:rPr>
        <w:t>).</w:t>
      </w:r>
    </w:p>
    <w:p w14:paraId="7600F02C" w14:textId="77777777" w:rsidR="008C6A13" w:rsidRPr="008C6A13" w:rsidRDefault="008C6A13" w:rsidP="008C6A13">
      <w:pPr>
        <w:shd w:val="clear" w:color="auto" w:fill="FFFFFF"/>
        <w:spacing w:after="0" w:line="240" w:lineRule="auto"/>
        <w:rPr>
          <w:rFonts w:ascii="Open Sans" w:eastAsia="Times New Roman" w:hAnsi="Open Sans" w:cs="Open Sans"/>
          <w:color w:val="181D23"/>
          <w:kern w:val="0"/>
          <w14:ligatures w14:val="none"/>
        </w:rPr>
      </w:pPr>
      <w:r w:rsidRPr="008C6A13">
        <w:rPr>
          <w:rFonts w:ascii="Open Sans" w:eastAsia="Times New Roman" w:hAnsi="Open Sans" w:cs="Open Sans"/>
          <w:color w:val="181D23"/>
          <w:kern w:val="0"/>
          <w14:ligatures w14:val="none"/>
        </w:rPr>
        <w:t xml:space="preserve">Indications for Hepatitis B Virus Screening and </w:t>
      </w:r>
      <w:proofErr w:type="spellStart"/>
      <w:r w:rsidRPr="008C6A13">
        <w:rPr>
          <w:rFonts w:ascii="Open Sans" w:eastAsia="Times New Roman" w:hAnsi="Open Sans" w:cs="Open Sans"/>
          <w:color w:val="181D23"/>
          <w:kern w:val="0"/>
          <w14:ligatures w14:val="none"/>
        </w:rPr>
        <w:t>Testing</w:t>
      </w:r>
      <w:r w:rsidRPr="008C6A13">
        <w:rPr>
          <w:rFonts w:ascii="Open Sans" w:eastAsia="Times New Roman" w:hAnsi="Open Sans" w:cs="Open Sans"/>
          <w:color w:val="181D23"/>
          <w:kern w:val="0"/>
          <w:sz w:val="12"/>
          <w:szCs w:val="12"/>
          <w:vertAlign w:val="superscript"/>
          <w14:ligatures w14:val="none"/>
        </w:rPr>
        <w:t>a</w:t>
      </w:r>
      <w:proofErr w:type="spellEnd"/>
    </w:p>
    <w:tbl>
      <w:tblPr>
        <w:tblW w:w="12255" w:type="dxa"/>
        <w:tblBorders>
          <w:top w:val="single" w:sz="12" w:space="0" w:color="6C757D"/>
        </w:tblBorders>
        <w:tblCellMar>
          <w:top w:w="15" w:type="dxa"/>
          <w:left w:w="15" w:type="dxa"/>
          <w:bottom w:w="15" w:type="dxa"/>
          <w:right w:w="15" w:type="dxa"/>
        </w:tblCellMar>
        <w:tblLook w:val="04A0" w:firstRow="1" w:lastRow="0" w:firstColumn="1" w:lastColumn="0" w:noHBand="0" w:noVBand="1"/>
      </w:tblPr>
      <w:tblGrid>
        <w:gridCol w:w="12255"/>
      </w:tblGrid>
      <w:tr w:rsidR="008C6A13" w:rsidRPr="008C6A13" w14:paraId="421066CA" w14:textId="77777777">
        <w:trPr>
          <w:tblHeader/>
        </w:trPr>
        <w:tc>
          <w:tcPr>
            <w:tcW w:w="12255" w:type="dxa"/>
            <w:tcBorders>
              <w:top w:val="single" w:sz="12" w:space="0" w:color="6C757D"/>
              <w:left w:val="nil"/>
              <w:bottom w:val="single" w:sz="12" w:space="0" w:color="6C757D"/>
              <w:right w:val="nil"/>
            </w:tcBorders>
            <w:hideMark/>
          </w:tcPr>
          <w:p w14:paraId="1D0ACABD"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Screening</w:t>
            </w:r>
          </w:p>
        </w:tc>
      </w:tr>
      <w:tr w:rsidR="008C6A13" w:rsidRPr="008C6A13" w14:paraId="71C1B552" w14:textId="77777777">
        <w:tc>
          <w:tcPr>
            <w:tcW w:w="0" w:type="auto"/>
            <w:tcBorders>
              <w:top w:val="single" w:sz="6" w:space="0" w:color="ADB5BD"/>
              <w:left w:val="nil"/>
              <w:bottom w:val="single" w:sz="6" w:space="0" w:color="ADB5BD"/>
              <w:right w:val="nil"/>
            </w:tcBorders>
            <w:hideMark/>
          </w:tcPr>
          <w:p w14:paraId="0A441AB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Minimum of one-time screening in all adults ≥18 years</w:t>
            </w:r>
          </w:p>
        </w:tc>
      </w:tr>
      <w:tr w:rsidR="008C6A13" w:rsidRPr="008C6A13" w14:paraId="103043A2" w14:textId="77777777">
        <w:tc>
          <w:tcPr>
            <w:tcW w:w="0" w:type="auto"/>
            <w:tcBorders>
              <w:top w:val="single" w:sz="6" w:space="0" w:color="ADB5BD"/>
              <w:left w:val="nil"/>
              <w:bottom w:val="single" w:sz="6" w:space="0" w:color="ADB5BD"/>
              <w:right w:val="nil"/>
            </w:tcBorders>
            <w:hideMark/>
          </w:tcPr>
          <w:p w14:paraId="2F55F8A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All pregnant individuals during the first trimester of each pregnancy (and pre-pregnancy when possible)</w:t>
            </w:r>
          </w:p>
        </w:tc>
      </w:tr>
      <w:tr w:rsidR="008C6A13" w:rsidRPr="008C6A13" w14:paraId="4AC320E2" w14:textId="77777777">
        <w:tc>
          <w:tcPr>
            <w:tcW w:w="0" w:type="auto"/>
            <w:tcBorders>
              <w:top w:val="single" w:sz="12" w:space="0" w:color="6C757D"/>
              <w:left w:val="nil"/>
              <w:bottom w:val="single" w:sz="12" w:space="0" w:color="6C757D"/>
              <w:right w:val="nil"/>
            </w:tcBorders>
            <w:hideMark/>
          </w:tcPr>
          <w:p w14:paraId="269F5D18"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Risk-Based Testing</w:t>
            </w:r>
          </w:p>
        </w:tc>
      </w:tr>
      <w:tr w:rsidR="008C6A13" w:rsidRPr="008C6A13" w14:paraId="0CDCA214" w14:textId="77777777">
        <w:tc>
          <w:tcPr>
            <w:tcW w:w="0" w:type="auto"/>
            <w:tcBorders>
              <w:top w:val="single" w:sz="6" w:space="0" w:color="ADB5BD"/>
              <w:left w:val="nil"/>
              <w:bottom w:val="single" w:sz="6" w:space="0" w:color="ADB5BD"/>
              <w:right w:val="nil"/>
            </w:tcBorders>
            <w:hideMark/>
          </w:tcPr>
          <w:p w14:paraId="3AD15CA9"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Individuals born or raised in regions with high rates of hepatitis B virus infection:</w:t>
            </w:r>
          </w:p>
        </w:tc>
      </w:tr>
      <w:tr w:rsidR="008C6A13" w:rsidRPr="008C6A13" w14:paraId="2062F815" w14:textId="77777777">
        <w:tc>
          <w:tcPr>
            <w:tcW w:w="0" w:type="auto"/>
            <w:tcBorders>
              <w:top w:val="single" w:sz="6" w:space="0" w:color="ADB5BD"/>
              <w:left w:val="nil"/>
              <w:bottom w:val="single" w:sz="6" w:space="0" w:color="ADB5BD"/>
              <w:right w:val="nil"/>
            </w:tcBorders>
            <w:hideMark/>
          </w:tcPr>
          <w:p w14:paraId="0742953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Asia</w:t>
            </w:r>
          </w:p>
        </w:tc>
      </w:tr>
      <w:tr w:rsidR="008C6A13" w:rsidRPr="008C6A13" w14:paraId="55B7D239" w14:textId="77777777">
        <w:tc>
          <w:tcPr>
            <w:tcW w:w="0" w:type="auto"/>
            <w:tcBorders>
              <w:top w:val="single" w:sz="6" w:space="0" w:color="ADB5BD"/>
              <w:left w:val="nil"/>
              <w:bottom w:val="single" w:sz="6" w:space="0" w:color="ADB5BD"/>
              <w:right w:val="nil"/>
            </w:tcBorders>
            <w:hideMark/>
          </w:tcPr>
          <w:p w14:paraId="0FD411B4"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Africa</w:t>
            </w:r>
          </w:p>
        </w:tc>
      </w:tr>
      <w:tr w:rsidR="008C6A13" w:rsidRPr="008C6A13" w14:paraId="519B5155" w14:textId="77777777">
        <w:tc>
          <w:tcPr>
            <w:tcW w:w="0" w:type="auto"/>
            <w:tcBorders>
              <w:top w:val="single" w:sz="6" w:space="0" w:color="ADB5BD"/>
              <w:left w:val="nil"/>
              <w:bottom w:val="single" w:sz="6" w:space="0" w:color="ADB5BD"/>
              <w:right w:val="nil"/>
            </w:tcBorders>
            <w:hideMark/>
          </w:tcPr>
          <w:p w14:paraId="0808B884"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South Pacific</w:t>
            </w:r>
          </w:p>
        </w:tc>
      </w:tr>
      <w:tr w:rsidR="008C6A13" w:rsidRPr="008C6A13" w14:paraId="6ABFAF4D" w14:textId="77777777">
        <w:tc>
          <w:tcPr>
            <w:tcW w:w="0" w:type="auto"/>
            <w:tcBorders>
              <w:top w:val="single" w:sz="6" w:space="0" w:color="ADB5BD"/>
              <w:left w:val="nil"/>
              <w:bottom w:val="single" w:sz="6" w:space="0" w:color="ADB5BD"/>
              <w:right w:val="nil"/>
            </w:tcBorders>
            <w:hideMark/>
          </w:tcPr>
          <w:p w14:paraId="4E8BF84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European Mediterranean countries</w:t>
            </w:r>
          </w:p>
        </w:tc>
      </w:tr>
      <w:tr w:rsidR="008C6A13" w:rsidRPr="008C6A13" w14:paraId="79DD1F2B" w14:textId="77777777">
        <w:tc>
          <w:tcPr>
            <w:tcW w:w="0" w:type="auto"/>
            <w:tcBorders>
              <w:top w:val="single" w:sz="6" w:space="0" w:color="ADB5BD"/>
              <w:left w:val="nil"/>
              <w:bottom w:val="single" w:sz="6" w:space="0" w:color="ADB5BD"/>
              <w:right w:val="nil"/>
            </w:tcBorders>
            <w:hideMark/>
          </w:tcPr>
          <w:p w14:paraId="56B5071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lastRenderedPageBreak/>
              <w:t>Eastern Europe</w:t>
            </w:r>
          </w:p>
        </w:tc>
      </w:tr>
      <w:tr w:rsidR="008C6A13" w:rsidRPr="008C6A13" w14:paraId="61A889A9" w14:textId="77777777">
        <w:tc>
          <w:tcPr>
            <w:tcW w:w="0" w:type="auto"/>
            <w:tcBorders>
              <w:top w:val="single" w:sz="6" w:space="0" w:color="ADB5BD"/>
              <w:left w:val="nil"/>
              <w:bottom w:val="single" w:sz="6" w:space="0" w:color="ADB5BD"/>
              <w:right w:val="nil"/>
            </w:tcBorders>
            <w:hideMark/>
          </w:tcPr>
          <w:p w14:paraId="3301A87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Most of South America</w:t>
            </w:r>
          </w:p>
        </w:tc>
      </w:tr>
      <w:tr w:rsidR="008C6A13" w:rsidRPr="008C6A13" w14:paraId="7833EA43" w14:textId="77777777">
        <w:tc>
          <w:tcPr>
            <w:tcW w:w="0" w:type="auto"/>
            <w:tcBorders>
              <w:top w:val="single" w:sz="6" w:space="0" w:color="ADB5BD"/>
              <w:left w:val="nil"/>
              <w:bottom w:val="single" w:sz="6" w:space="0" w:color="ADB5BD"/>
              <w:right w:val="nil"/>
            </w:tcBorders>
            <w:hideMark/>
          </w:tcPr>
          <w:p w14:paraId="19B60D9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Honduras</w:t>
            </w:r>
          </w:p>
        </w:tc>
      </w:tr>
      <w:tr w:rsidR="008C6A13" w:rsidRPr="008C6A13" w14:paraId="273C30C9" w14:textId="77777777">
        <w:tc>
          <w:tcPr>
            <w:tcW w:w="0" w:type="auto"/>
            <w:tcBorders>
              <w:top w:val="single" w:sz="6" w:space="0" w:color="ADB5BD"/>
              <w:left w:val="nil"/>
              <w:bottom w:val="single" w:sz="6" w:space="0" w:color="ADB5BD"/>
              <w:right w:val="nil"/>
            </w:tcBorders>
            <w:hideMark/>
          </w:tcPr>
          <w:p w14:paraId="7AAF041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Guatemala</w:t>
            </w:r>
          </w:p>
        </w:tc>
      </w:tr>
      <w:tr w:rsidR="008C6A13" w:rsidRPr="008C6A13" w14:paraId="63498B45" w14:textId="77777777">
        <w:tc>
          <w:tcPr>
            <w:tcW w:w="0" w:type="auto"/>
            <w:tcBorders>
              <w:top w:val="single" w:sz="6" w:space="0" w:color="ADB5BD"/>
              <w:left w:val="nil"/>
              <w:bottom w:val="single" w:sz="6" w:space="0" w:color="ADB5BD"/>
              <w:right w:val="nil"/>
            </w:tcBorders>
            <w:hideMark/>
          </w:tcPr>
          <w:p w14:paraId="4B28477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Middle East (except Israel and Cyprus)</w:t>
            </w:r>
          </w:p>
        </w:tc>
      </w:tr>
      <w:tr w:rsidR="008C6A13" w:rsidRPr="008C6A13" w14:paraId="5E436D76" w14:textId="77777777">
        <w:tc>
          <w:tcPr>
            <w:tcW w:w="0" w:type="auto"/>
            <w:tcBorders>
              <w:top w:val="single" w:sz="6" w:space="0" w:color="ADB5BD"/>
              <w:left w:val="nil"/>
              <w:bottom w:val="single" w:sz="6" w:space="0" w:color="ADB5BD"/>
              <w:right w:val="nil"/>
            </w:tcBorders>
            <w:hideMark/>
          </w:tcPr>
          <w:p w14:paraId="1770D260"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U.S.-born persons not vaccinated as infants whose parents were born in endemic areas</w:t>
            </w:r>
          </w:p>
        </w:tc>
      </w:tr>
      <w:tr w:rsidR="008C6A13" w:rsidRPr="008C6A13" w14:paraId="1E260868" w14:textId="77777777">
        <w:tc>
          <w:tcPr>
            <w:tcW w:w="0" w:type="auto"/>
            <w:tcBorders>
              <w:top w:val="single" w:sz="6" w:space="0" w:color="ADB5BD"/>
              <w:left w:val="nil"/>
              <w:bottom w:val="single" w:sz="6" w:space="0" w:color="ADB5BD"/>
              <w:right w:val="nil"/>
            </w:tcBorders>
            <w:hideMark/>
          </w:tcPr>
          <w:p w14:paraId="5BCB37BC"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Household or sexual contact with hepatitis B surface antigen–positive persons</w:t>
            </w:r>
          </w:p>
        </w:tc>
      </w:tr>
      <w:tr w:rsidR="008C6A13" w:rsidRPr="008C6A13" w14:paraId="614D67BF" w14:textId="77777777">
        <w:tc>
          <w:tcPr>
            <w:tcW w:w="0" w:type="auto"/>
            <w:tcBorders>
              <w:top w:val="single" w:sz="6" w:space="0" w:color="ADB5BD"/>
              <w:left w:val="nil"/>
              <w:bottom w:val="single" w:sz="6" w:space="0" w:color="ADB5BD"/>
              <w:right w:val="nil"/>
            </w:tcBorders>
            <w:hideMark/>
          </w:tcPr>
          <w:p w14:paraId="341D40D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Injection drug use</w:t>
            </w:r>
          </w:p>
        </w:tc>
      </w:tr>
      <w:tr w:rsidR="008C6A13" w:rsidRPr="008C6A13" w14:paraId="08A1EC11" w14:textId="77777777">
        <w:tc>
          <w:tcPr>
            <w:tcW w:w="0" w:type="auto"/>
            <w:tcBorders>
              <w:top w:val="single" w:sz="6" w:space="0" w:color="ADB5BD"/>
              <w:left w:val="nil"/>
              <w:bottom w:val="single" w:sz="6" w:space="0" w:color="ADB5BD"/>
              <w:right w:val="nil"/>
            </w:tcBorders>
            <w:hideMark/>
          </w:tcPr>
          <w:p w14:paraId="7191FCF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Needle-sharing with persons with HBV infection</w:t>
            </w:r>
          </w:p>
        </w:tc>
      </w:tr>
      <w:tr w:rsidR="008C6A13" w:rsidRPr="008C6A13" w14:paraId="1C8163A6" w14:textId="77777777">
        <w:tc>
          <w:tcPr>
            <w:tcW w:w="0" w:type="auto"/>
            <w:tcBorders>
              <w:top w:val="single" w:sz="6" w:space="0" w:color="ADB5BD"/>
              <w:left w:val="nil"/>
              <w:bottom w:val="single" w:sz="6" w:space="0" w:color="ADB5BD"/>
              <w:right w:val="nil"/>
            </w:tcBorders>
            <w:hideMark/>
          </w:tcPr>
          <w:p w14:paraId="46EA105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Multiple sex partners or history of sexually transmitted infection</w:t>
            </w:r>
          </w:p>
        </w:tc>
      </w:tr>
      <w:tr w:rsidR="008C6A13" w:rsidRPr="008C6A13" w14:paraId="524515D3" w14:textId="77777777">
        <w:tc>
          <w:tcPr>
            <w:tcW w:w="0" w:type="auto"/>
            <w:tcBorders>
              <w:top w:val="single" w:sz="6" w:space="0" w:color="ADB5BD"/>
              <w:left w:val="nil"/>
              <w:bottom w:val="single" w:sz="6" w:space="0" w:color="ADB5BD"/>
              <w:right w:val="nil"/>
            </w:tcBorders>
            <w:hideMark/>
          </w:tcPr>
          <w:p w14:paraId="2AD897D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Men who have sex with men</w:t>
            </w:r>
          </w:p>
        </w:tc>
      </w:tr>
      <w:tr w:rsidR="008C6A13" w:rsidRPr="008C6A13" w14:paraId="598AB4C9" w14:textId="77777777">
        <w:tc>
          <w:tcPr>
            <w:tcW w:w="0" w:type="auto"/>
            <w:tcBorders>
              <w:top w:val="single" w:sz="6" w:space="0" w:color="ADB5BD"/>
              <w:left w:val="nil"/>
              <w:bottom w:val="single" w:sz="6" w:space="0" w:color="ADB5BD"/>
              <w:right w:val="nil"/>
            </w:tcBorders>
            <w:hideMark/>
          </w:tcPr>
          <w:p w14:paraId="3F6324E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History of incarceration in jail, prison, or other detention setting</w:t>
            </w:r>
          </w:p>
        </w:tc>
      </w:tr>
      <w:tr w:rsidR="008C6A13" w:rsidRPr="008C6A13" w14:paraId="5F30C9E1" w14:textId="77777777">
        <w:tc>
          <w:tcPr>
            <w:tcW w:w="0" w:type="auto"/>
            <w:tcBorders>
              <w:top w:val="single" w:sz="6" w:space="0" w:color="ADB5BD"/>
              <w:left w:val="nil"/>
              <w:bottom w:val="single" w:sz="6" w:space="0" w:color="ADB5BD"/>
              <w:right w:val="nil"/>
            </w:tcBorders>
            <w:hideMark/>
          </w:tcPr>
          <w:p w14:paraId="3946762F"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History of HCV infection</w:t>
            </w:r>
          </w:p>
        </w:tc>
      </w:tr>
      <w:tr w:rsidR="008C6A13" w:rsidRPr="008C6A13" w14:paraId="212ED06F" w14:textId="77777777">
        <w:tc>
          <w:tcPr>
            <w:tcW w:w="0" w:type="auto"/>
            <w:tcBorders>
              <w:top w:val="single" w:sz="6" w:space="0" w:color="ADB5BD"/>
              <w:left w:val="nil"/>
              <w:bottom w:val="single" w:sz="6" w:space="0" w:color="ADB5BD"/>
              <w:right w:val="nil"/>
            </w:tcBorders>
            <w:hideMark/>
          </w:tcPr>
          <w:p w14:paraId="6DBDB0A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Persons with HIV infection</w:t>
            </w:r>
          </w:p>
        </w:tc>
      </w:tr>
      <w:tr w:rsidR="008C6A13" w:rsidRPr="008C6A13" w14:paraId="203DD30E" w14:textId="77777777">
        <w:tc>
          <w:tcPr>
            <w:tcW w:w="0" w:type="auto"/>
            <w:tcBorders>
              <w:top w:val="single" w:sz="6" w:space="0" w:color="ADB5BD"/>
              <w:left w:val="nil"/>
              <w:bottom w:val="single" w:sz="6" w:space="0" w:color="ADB5BD"/>
              <w:right w:val="nil"/>
            </w:tcBorders>
            <w:hideMark/>
          </w:tcPr>
          <w:p w14:paraId="1BFEFD0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xml:space="preserve">Persons with </w:t>
            </w:r>
            <w:proofErr w:type="spellStart"/>
            <w:r w:rsidRPr="008C6A13">
              <w:rPr>
                <w:rFonts w:ascii="Times New Roman" w:eastAsia="Times New Roman" w:hAnsi="Times New Roman" w:cs="Times New Roman"/>
                <w:color w:val="15171A"/>
                <w:kern w:val="0"/>
                <w14:ligatures w14:val="none"/>
              </w:rPr>
              <w:t>predialysis</w:t>
            </w:r>
            <w:proofErr w:type="spellEnd"/>
            <w:r w:rsidRPr="008C6A13">
              <w:rPr>
                <w:rFonts w:ascii="Times New Roman" w:eastAsia="Times New Roman" w:hAnsi="Times New Roman" w:cs="Times New Roman"/>
                <w:color w:val="15171A"/>
                <w:kern w:val="0"/>
                <w14:ligatures w14:val="none"/>
              </w:rPr>
              <w:t xml:space="preserve"> kidney disease or those undergoing hemodialysis, peritoneal dialysis, or home dialysis</w:t>
            </w:r>
          </w:p>
        </w:tc>
      </w:tr>
      <w:tr w:rsidR="008C6A13" w:rsidRPr="008C6A13" w14:paraId="080FFF77" w14:textId="77777777">
        <w:tc>
          <w:tcPr>
            <w:tcW w:w="0" w:type="auto"/>
            <w:tcBorders>
              <w:top w:val="single" w:sz="6" w:space="0" w:color="ADB5BD"/>
              <w:left w:val="nil"/>
              <w:bottom w:val="single" w:sz="6" w:space="0" w:color="ADB5BD"/>
              <w:right w:val="nil"/>
            </w:tcBorders>
            <w:hideMark/>
          </w:tcPr>
          <w:p w14:paraId="7ED68DEF"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Persons with developmental disabilities and staff in residential facilities for persons with developmental disabilities</w:t>
            </w:r>
          </w:p>
        </w:tc>
      </w:tr>
      <w:tr w:rsidR="008C6A13" w:rsidRPr="008C6A13" w14:paraId="634444C9" w14:textId="77777777">
        <w:tc>
          <w:tcPr>
            <w:tcW w:w="0" w:type="auto"/>
            <w:tcBorders>
              <w:top w:val="single" w:sz="6" w:space="0" w:color="ADB5BD"/>
              <w:left w:val="nil"/>
              <w:bottom w:val="single" w:sz="6" w:space="0" w:color="ADB5BD"/>
              <w:right w:val="nil"/>
            </w:tcBorders>
            <w:hideMark/>
          </w:tcPr>
          <w:p w14:paraId="68C8327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Before initiation of immunosuppressive or cytotoxic therapy</w:t>
            </w:r>
          </w:p>
        </w:tc>
      </w:tr>
      <w:tr w:rsidR="008C6A13" w:rsidRPr="008C6A13" w14:paraId="6F3EB062" w14:textId="77777777">
        <w:tc>
          <w:tcPr>
            <w:tcW w:w="0" w:type="auto"/>
            <w:tcBorders>
              <w:top w:val="single" w:sz="6" w:space="0" w:color="ADB5BD"/>
              <w:left w:val="nil"/>
              <w:bottom w:val="single" w:sz="6" w:space="0" w:color="ADB5BD"/>
              <w:right w:val="nil"/>
            </w:tcBorders>
            <w:hideMark/>
          </w:tcPr>
          <w:p w14:paraId="4D0FB92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Elevated aminotransferase levels of unknown cause</w:t>
            </w:r>
          </w:p>
        </w:tc>
      </w:tr>
      <w:tr w:rsidR="008C6A13" w:rsidRPr="008C6A13" w14:paraId="7CBEDD39" w14:textId="77777777">
        <w:tc>
          <w:tcPr>
            <w:tcW w:w="0" w:type="auto"/>
            <w:tcBorders>
              <w:top w:val="single" w:sz="6" w:space="0" w:color="ADB5BD"/>
              <w:left w:val="nil"/>
              <w:bottom w:val="single" w:sz="6" w:space="0" w:color="ADB5BD"/>
              <w:right w:val="nil"/>
            </w:tcBorders>
            <w:hideMark/>
          </w:tcPr>
          <w:p w14:paraId="530187AD"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Acute liver failure</w:t>
            </w:r>
          </w:p>
        </w:tc>
      </w:tr>
      <w:tr w:rsidR="008C6A13" w:rsidRPr="008C6A13" w14:paraId="6121D339" w14:textId="77777777">
        <w:tc>
          <w:tcPr>
            <w:tcW w:w="0" w:type="auto"/>
            <w:tcBorders>
              <w:top w:val="single" w:sz="6" w:space="0" w:color="ADB5BD"/>
              <w:left w:val="nil"/>
              <w:bottom w:val="single" w:sz="6" w:space="0" w:color="ADB5BD"/>
              <w:right w:val="nil"/>
            </w:tcBorders>
            <w:hideMark/>
          </w:tcPr>
          <w:p w14:paraId="4139CAB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Persons who request HBV testing</w:t>
            </w:r>
          </w:p>
        </w:tc>
      </w:tr>
    </w:tbl>
    <w:p w14:paraId="69B11343" w14:textId="77777777" w:rsidR="008C6A13" w:rsidRPr="008C6A13" w:rsidRDefault="008C6A13" w:rsidP="008C6A13">
      <w:pPr>
        <w:shd w:val="clear" w:color="auto" w:fill="FFFFFF"/>
        <w:spacing w:after="0"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HBV = hepatitis B virus; HCV = hepatitis C virus.</w:t>
      </w:r>
    </w:p>
    <w:p w14:paraId="493CDE36" w14:textId="77777777" w:rsidR="008C6A13" w:rsidRPr="008C6A13" w:rsidRDefault="008C6A13" w:rsidP="008C6A13">
      <w:pPr>
        <w:shd w:val="clear" w:color="auto" w:fill="FFFFFF"/>
        <w:spacing w:after="0" w:line="240" w:lineRule="auto"/>
        <w:rPr>
          <w:rFonts w:ascii="Times New Roman" w:eastAsia="Times New Roman" w:hAnsi="Times New Roman" w:cs="Times New Roman"/>
          <w:kern w:val="0"/>
          <w14:ligatures w14:val="none"/>
        </w:rPr>
      </w:pPr>
      <w:proofErr w:type="spellStart"/>
      <w:r w:rsidRPr="008C6A13">
        <w:rPr>
          <w:rFonts w:ascii="Times New Roman" w:eastAsia="Times New Roman" w:hAnsi="Times New Roman" w:cs="Times New Roman"/>
          <w:kern w:val="0"/>
          <w:sz w:val="12"/>
          <w:szCs w:val="12"/>
          <w:vertAlign w:val="superscript"/>
          <w14:ligatures w14:val="none"/>
        </w:rPr>
        <w:t>a</w:t>
      </w:r>
      <w:r w:rsidRPr="008C6A13">
        <w:rPr>
          <w:rFonts w:ascii="Times New Roman" w:eastAsia="Times New Roman" w:hAnsi="Times New Roman" w:cs="Times New Roman"/>
          <w:kern w:val="0"/>
          <w14:ligatures w14:val="none"/>
        </w:rPr>
        <w:t>Recommendations</w:t>
      </w:r>
      <w:proofErr w:type="spellEnd"/>
      <w:r w:rsidRPr="008C6A13">
        <w:rPr>
          <w:rFonts w:ascii="Times New Roman" w:eastAsia="Times New Roman" w:hAnsi="Times New Roman" w:cs="Times New Roman"/>
          <w:kern w:val="0"/>
          <w14:ligatures w14:val="none"/>
        </w:rPr>
        <w:t xml:space="preserve"> collated from the CDC, U.S. Preventive Services Task Force, and American Association for the Study of Liver Diseases.</w:t>
      </w:r>
    </w:p>
    <w:p w14:paraId="3F259489"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Four phases of chronic HBV infection are differentiated based on immune response:</w:t>
      </w:r>
    </w:p>
    <w:p w14:paraId="1FC01A39" w14:textId="77777777" w:rsidR="008C6A13" w:rsidRPr="008C6A13" w:rsidRDefault="008C6A13" w:rsidP="008C6A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Immune tolerant</w:t>
      </w:r>
    </w:p>
    <w:p w14:paraId="27BAB701" w14:textId="77777777" w:rsidR="008C6A13" w:rsidRPr="008C6A13" w:rsidRDefault="008C6A13" w:rsidP="008C6A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Immune active</w:t>
      </w:r>
    </w:p>
    <w:p w14:paraId="410B60FA" w14:textId="77777777" w:rsidR="008C6A13" w:rsidRPr="008C6A13" w:rsidRDefault="008C6A13" w:rsidP="008C6A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Immune control (inactive carrier)</w:t>
      </w:r>
    </w:p>
    <w:p w14:paraId="6C9438D3" w14:textId="77777777" w:rsidR="008C6A13" w:rsidRPr="008C6A13" w:rsidRDefault="008C6A13" w:rsidP="008C6A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Reactivation (reactivation may be precipitated by immunosuppression even in patients with resolved infection)</w:t>
      </w:r>
    </w:p>
    <w:p w14:paraId="0D54E6F9"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(See </w:t>
      </w:r>
      <w:hyperlink r:id="rId7" w:history="1">
        <w:r w:rsidRPr="008C6A13">
          <w:rPr>
            <w:rFonts w:ascii="inherit" w:eastAsia="Times New Roman" w:hAnsi="inherit" w:cs="Times New Roman"/>
            <w:color w:val="0063BE"/>
            <w:kern w:val="0"/>
            <w:u w:val="single"/>
            <w:bdr w:val="none" w:sz="0" w:space="0" w:color="auto" w:frame="1"/>
            <w14:ligatures w14:val="none"/>
          </w:rPr>
          <w:t>Figure: Phases of Chronic Hepatitis B Virus Infection</w:t>
        </w:r>
      </w:hyperlink>
      <w:r w:rsidRPr="008C6A13">
        <w:rPr>
          <w:rFonts w:ascii="Times New Roman" w:eastAsia="Times New Roman" w:hAnsi="Times New Roman" w:cs="Times New Roman"/>
          <w:kern w:val="0"/>
          <w14:ligatures w14:val="none"/>
        </w:rPr>
        <w:t> and </w:t>
      </w:r>
      <w:hyperlink r:id="rId8" w:history="1">
        <w:r w:rsidRPr="008C6A13">
          <w:rPr>
            <w:rFonts w:ascii="inherit" w:eastAsia="Times New Roman" w:hAnsi="inherit" w:cs="Times New Roman"/>
            <w:color w:val="0063BE"/>
            <w:kern w:val="0"/>
            <w:u w:val="single"/>
            <w:bdr w:val="none" w:sz="0" w:space="0" w:color="auto" w:frame="1"/>
            <w14:ligatures w14:val="none"/>
          </w:rPr>
          <w:t>Table: Interpretation of HBV Serology Test Results</w:t>
        </w:r>
      </w:hyperlink>
      <w:r w:rsidRPr="008C6A13">
        <w:rPr>
          <w:rFonts w:ascii="Times New Roman" w:eastAsia="Times New Roman" w:hAnsi="Times New Roman" w:cs="Times New Roman"/>
          <w:kern w:val="0"/>
          <w14:ligatures w14:val="none"/>
        </w:rPr>
        <w:t>.)</w:t>
      </w:r>
    </w:p>
    <w:p w14:paraId="0D2D9CBA" w14:textId="77777777" w:rsidR="008C6A13" w:rsidRPr="008C6A13" w:rsidRDefault="008C6A13" w:rsidP="008C6A13">
      <w:pPr>
        <w:shd w:val="clear" w:color="auto" w:fill="FFFFFF"/>
        <w:spacing w:after="0" w:line="240" w:lineRule="auto"/>
        <w:rPr>
          <w:rFonts w:ascii="Open Sans" w:eastAsia="Times New Roman" w:hAnsi="Open Sans" w:cs="Open Sans"/>
          <w:color w:val="181D23"/>
          <w:kern w:val="0"/>
          <w14:ligatures w14:val="none"/>
        </w:rPr>
      </w:pPr>
      <w:r w:rsidRPr="008C6A13">
        <w:rPr>
          <w:rFonts w:ascii="Open Sans" w:eastAsia="Times New Roman" w:hAnsi="Open Sans" w:cs="Open Sans"/>
          <w:color w:val="181D23"/>
          <w:kern w:val="0"/>
          <w14:ligatures w14:val="none"/>
        </w:rPr>
        <w:t>Phases of Chronic Hepatitis B Virus Infection</w:t>
      </w:r>
    </w:p>
    <w:p w14:paraId="29E23CE0" w14:textId="164DE727"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fldChar w:fldCharType="begin"/>
      </w:r>
      <w:r w:rsidRPr="008C6A13">
        <w:rPr>
          <w:rFonts w:ascii="Times New Roman" w:eastAsia="Times New Roman" w:hAnsi="Times New Roman" w:cs="Times New Roman"/>
          <w:color w:val="181D23"/>
          <w:kern w:val="0"/>
          <w14:ligatures w14:val="none"/>
        </w:rPr>
        <w:instrText xml:space="preserve"> INCLUDEPICTURE "https://d2chybfyz5ban.cloudfront.net/hashed_figures/hpfig24007.70151d555cc0440f2e226031e9d0d84c.svg" \* MERGEFORMATINET </w:instrText>
      </w:r>
      <w:r w:rsidRPr="008C6A13">
        <w:rPr>
          <w:rFonts w:ascii="Times New Roman" w:eastAsia="Times New Roman" w:hAnsi="Times New Roman" w:cs="Times New Roman"/>
          <w:color w:val="181D23"/>
          <w:kern w:val="0"/>
          <w14:ligatures w14:val="none"/>
        </w:rPr>
        <w:fldChar w:fldCharType="separate"/>
      </w:r>
      <w:r w:rsidRPr="008C6A13">
        <w:rPr>
          <w:rFonts w:ascii="Times New Roman" w:eastAsia="Times New Roman" w:hAnsi="Times New Roman" w:cs="Times New Roman"/>
          <w:noProof/>
          <w:color w:val="181D23"/>
          <w:kern w:val="0"/>
          <w14:ligatures w14:val="none"/>
        </w:rPr>
        <mc:AlternateContent>
          <mc:Choice Requires="wps">
            <w:drawing>
              <wp:inline distT="0" distB="0" distL="0" distR="0" wp14:anchorId="7ED9668E" wp14:editId="564E5634">
                <wp:extent cx="302895" cy="302895"/>
                <wp:effectExtent l="0" t="0" r="0" b="0"/>
                <wp:docPr id="9122757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B0402" id="Rectangle 2"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8C6A13">
        <w:rPr>
          <w:rFonts w:ascii="Times New Roman" w:eastAsia="Times New Roman" w:hAnsi="Times New Roman" w:cs="Times New Roman"/>
          <w:color w:val="181D23"/>
          <w:kern w:val="0"/>
          <w14:ligatures w14:val="none"/>
        </w:rPr>
        <w:fldChar w:fldCharType="end"/>
      </w:r>
    </w:p>
    <w:p w14:paraId="674624C8" w14:textId="77777777" w:rsidR="008C6A13" w:rsidRPr="008C6A13" w:rsidRDefault="008C6A13" w:rsidP="008C6A13">
      <w:pPr>
        <w:shd w:val="clear" w:color="auto" w:fill="FFFFFF"/>
        <w:spacing w:after="0" w:line="360" w:lineRule="atLeast"/>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 xml:space="preserve">Although most patients progress through the phases of chronic hepatitis B virus (HBV) infection in sequence, not all patients develop </w:t>
      </w:r>
      <w:proofErr w:type="spellStart"/>
      <w:r w:rsidRPr="008C6A13">
        <w:rPr>
          <w:rFonts w:ascii="Times New Roman" w:eastAsia="Times New Roman" w:hAnsi="Times New Roman" w:cs="Times New Roman"/>
          <w:color w:val="181D23"/>
          <w:kern w:val="0"/>
          <w14:ligatures w14:val="none"/>
        </w:rPr>
        <w:t>HBeAg</w:t>
      </w:r>
      <w:proofErr w:type="spellEnd"/>
      <w:r w:rsidRPr="008C6A13">
        <w:rPr>
          <w:rFonts w:ascii="Times New Roman" w:eastAsia="Times New Roman" w:hAnsi="Times New Roman" w:cs="Times New Roman"/>
          <w:color w:val="181D23"/>
          <w:kern w:val="0"/>
          <w14:ligatures w14:val="none"/>
        </w:rPr>
        <w:t>-negative HBV infection, and only patients with vertical transmission of HBV have a clinically recognized immune tolerant phase. All phases feature positivity for HBsAg, negativity for anti-HBs, and positivity for IgG anti-HBc.</w:t>
      </w:r>
    </w:p>
    <w:p w14:paraId="08FDEA78" w14:textId="77777777" w:rsidR="008C6A13" w:rsidRPr="008C6A13" w:rsidRDefault="008C6A13" w:rsidP="008C6A13">
      <w:pPr>
        <w:numPr>
          <w:ilvl w:val="0"/>
          <w:numId w:val="4"/>
        </w:num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lastRenderedPageBreak/>
        <w:t>ALT = alanine aminotransferase; anti-HBc = antibody to hepatitis B core antigen; anti-</w:t>
      </w:r>
      <w:proofErr w:type="spellStart"/>
      <w:r w:rsidRPr="008C6A13">
        <w:rPr>
          <w:rFonts w:ascii="Times New Roman" w:eastAsia="Times New Roman" w:hAnsi="Times New Roman" w:cs="Times New Roman"/>
          <w:color w:val="181D23"/>
          <w:kern w:val="0"/>
          <w14:ligatures w14:val="none"/>
        </w:rPr>
        <w:t>HBe</w:t>
      </w:r>
      <w:proofErr w:type="spellEnd"/>
      <w:r w:rsidRPr="008C6A13">
        <w:rPr>
          <w:rFonts w:ascii="Times New Roman" w:eastAsia="Times New Roman" w:hAnsi="Times New Roman" w:cs="Times New Roman"/>
          <w:color w:val="181D23"/>
          <w:kern w:val="0"/>
          <w14:ligatures w14:val="none"/>
        </w:rPr>
        <w:t xml:space="preserve"> = antibody to hepatitis B e antigen; anti-HBs = antibody to hepatitis B surface antigen; </w:t>
      </w:r>
      <w:proofErr w:type="spellStart"/>
      <w:r w:rsidRPr="008C6A13">
        <w:rPr>
          <w:rFonts w:ascii="Times New Roman" w:eastAsia="Times New Roman" w:hAnsi="Times New Roman" w:cs="Times New Roman"/>
          <w:color w:val="181D23"/>
          <w:kern w:val="0"/>
          <w14:ligatures w14:val="none"/>
        </w:rPr>
        <w:t>HBeAg</w:t>
      </w:r>
      <w:proofErr w:type="spellEnd"/>
      <w:r w:rsidRPr="008C6A13">
        <w:rPr>
          <w:rFonts w:ascii="Times New Roman" w:eastAsia="Times New Roman" w:hAnsi="Times New Roman" w:cs="Times New Roman"/>
          <w:color w:val="181D23"/>
          <w:kern w:val="0"/>
          <w14:ligatures w14:val="none"/>
        </w:rPr>
        <w:t xml:space="preserve"> = hepatitis B e antigen; HBsAg = hepatitis B surface antigen; HBV = hepatitis B virus; HBV DNA = hepatitis B virus DNA.</w:t>
      </w:r>
    </w:p>
    <w:p w14:paraId="1018C0F5" w14:textId="77777777"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 xml:space="preserve">Data obtained from </w:t>
      </w:r>
      <w:proofErr w:type="spellStart"/>
      <w:r w:rsidRPr="008C6A13">
        <w:rPr>
          <w:rFonts w:ascii="Times New Roman" w:eastAsia="Times New Roman" w:hAnsi="Times New Roman" w:cs="Times New Roman"/>
          <w:color w:val="181D23"/>
          <w:kern w:val="0"/>
          <w14:ligatures w14:val="none"/>
        </w:rPr>
        <w:t>Terrault</w:t>
      </w:r>
      <w:proofErr w:type="spellEnd"/>
      <w:r w:rsidRPr="008C6A13">
        <w:rPr>
          <w:rFonts w:ascii="Times New Roman" w:eastAsia="Times New Roman" w:hAnsi="Times New Roman" w:cs="Times New Roman"/>
          <w:color w:val="181D23"/>
          <w:kern w:val="0"/>
          <w14:ligatures w14:val="none"/>
        </w:rPr>
        <w:t xml:space="preserve"> NA, Lok ASF, McMahon BJ, Chang KM, Hwang JP, Jonas MM, et al. Update on prevention, diagnosis, and treatment of chronic hepatitis B: AASLD 2018 hepatitis B guidance. Hepatology. </w:t>
      </w:r>
      <w:proofErr w:type="gramStart"/>
      <w:r w:rsidRPr="008C6A13">
        <w:rPr>
          <w:rFonts w:ascii="Times New Roman" w:eastAsia="Times New Roman" w:hAnsi="Times New Roman" w:cs="Times New Roman"/>
          <w:color w:val="181D23"/>
          <w:kern w:val="0"/>
          <w14:ligatures w14:val="none"/>
        </w:rPr>
        <w:t>2018;67:1570</w:t>
      </w:r>
      <w:proofErr w:type="gramEnd"/>
      <w:r w:rsidRPr="008C6A13">
        <w:rPr>
          <w:rFonts w:ascii="Times New Roman" w:eastAsia="Times New Roman" w:hAnsi="Times New Roman" w:cs="Times New Roman"/>
          <w:color w:val="181D23"/>
          <w:kern w:val="0"/>
          <w14:ligatures w14:val="none"/>
        </w:rPr>
        <w:t>. PMID: 29405329 doi:10.1002/hep.29800.</w:t>
      </w:r>
    </w:p>
    <w:p w14:paraId="20AF35CC" w14:textId="77777777"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Expand</w:t>
      </w:r>
    </w:p>
    <w:p w14:paraId="7CAF8ED3" w14:textId="77777777" w:rsidR="008C6A13" w:rsidRPr="008C6A13" w:rsidRDefault="008C6A13" w:rsidP="008C6A13">
      <w:pPr>
        <w:shd w:val="clear" w:color="auto" w:fill="FFFFFF"/>
        <w:spacing w:after="0" w:line="240" w:lineRule="auto"/>
        <w:rPr>
          <w:rFonts w:ascii="Open Sans" w:eastAsia="Times New Roman" w:hAnsi="Open Sans" w:cs="Open Sans"/>
          <w:color w:val="181D23"/>
          <w:kern w:val="0"/>
          <w14:ligatures w14:val="none"/>
        </w:rPr>
      </w:pPr>
      <w:r w:rsidRPr="008C6A13">
        <w:rPr>
          <w:rFonts w:ascii="Open Sans" w:eastAsia="Times New Roman" w:hAnsi="Open Sans" w:cs="Open Sans"/>
          <w:color w:val="181D23"/>
          <w:kern w:val="0"/>
          <w14:ligatures w14:val="none"/>
        </w:rPr>
        <w:t>Interpretation of Hepatitis B Virus Serology Test Results</w:t>
      </w:r>
    </w:p>
    <w:tbl>
      <w:tblPr>
        <w:tblW w:w="12255" w:type="dxa"/>
        <w:tblBorders>
          <w:top w:val="single" w:sz="12" w:space="0" w:color="6C757D"/>
        </w:tblBorders>
        <w:tblCellMar>
          <w:top w:w="15" w:type="dxa"/>
          <w:left w:w="15" w:type="dxa"/>
          <w:bottom w:w="15" w:type="dxa"/>
          <w:right w:w="15" w:type="dxa"/>
        </w:tblCellMar>
        <w:tblLook w:val="04A0" w:firstRow="1" w:lastRow="0" w:firstColumn="1" w:lastColumn="0" w:noHBand="0" w:noVBand="1"/>
      </w:tblPr>
      <w:tblGrid>
        <w:gridCol w:w="1497"/>
        <w:gridCol w:w="764"/>
        <w:gridCol w:w="564"/>
        <w:gridCol w:w="617"/>
        <w:gridCol w:w="777"/>
        <w:gridCol w:w="564"/>
        <w:gridCol w:w="950"/>
        <w:gridCol w:w="6522"/>
      </w:tblGrid>
      <w:tr w:rsidR="008C6A13" w:rsidRPr="008C6A13" w14:paraId="4A34B85E" w14:textId="77777777">
        <w:trPr>
          <w:tblHeader/>
        </w:trPr>
        <w:tc>
          <w:tcPr>
            <w:tcW w:w="0" w:type="auto"/>
            <w:tcBorders>
              <w:top w:val="single" w:sz="12" w:space="0" w:color="6C757D"/>
              <w:left w:val="nil"/>
              <w:bottom w:val="single" w:sz="12" w:space="0" w:color="6C757D"/>
              <w:right w:val="single" w:sz="2" w:space="0" w:color="auto"/>
            </w:tcBorders>
            <w:hideMark/>
          </w:tcPr>
          <w:p w14:paraId="76072BEF"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Interpretation</w:t>
            </w:r>
          </w:p>
        </w:tc>
        <w:tc>
          <w:tcPr>
            <w:tcW w:w="0" w:type="auto"/>
            <w:tcBorders>
              <w:top w:val="single" w:sz="12" w:space="0" w:color="6C757D"/>
              <w:left w:val="single" w:sz="2" w:space="0" w:color="auto"/>
              <w:bottom w:val="single" w:sz="12" w:space="0" w:color="6C757D"/>
              <w:right w:val="single" w:sz="2" w:space="0" w:color="auto"/>
            </w:tcBorders>
            <w:hideMark/>
          </w:tcPr>
          <w:p w14:paraId="0C2D76A0"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HBsAg</w:t>
            </w:r>
          </w:p>
        </w:tc>
        <w:tc>
          <w:tcPr>
            <w:tcW w:w="0" w:type="auto"/>
            <w:tcBorders>
              <w:top w:val="single" w:sz="12" w:space="0" w:color="6C757D"/>
              <w:left w:val="single" w:sz="2" w:space="0" w:color="auto"/>
              <w:bottom w:val="single" w:sz="12" w:space="0" w:color="6C757D"/>
              <w:right w:val="single" w:sz="2" w:space="0" w:color="auto"/>
            </w:tcBorders>
            <w:hideMark/>
          </w:tcPr>
          <w:p w14:paraId="472C82E9"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Anti-HBs</w:t>
            </w:r>
          </w:p>
        </w:tc>
        <w:tc>
          <w:tcPr>
            <w:tcW w:w="0" w:type="auto"/>
            <w:tcBorders>
              <w:top w:val="single" w:sz="12" w:space="0" w:color="6C757D"/>
              <w:left w:val="single" w:sz="2" w:space="0" w:color="auto"/>
              <w:bottom w:val="single" w:sz="12" w:space="0" w:color="6C757D"/>
              <w:right w:val="single" w:sz="2" w:space="0" w:color="auto"/>
            </w:tcBorders>
            <w:hideMark/>
          </w:tcPr>
          <w:p w14:paraId="11A6F39F"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Anti-HBc</w:t>
            </w:r>
          </w:p>
        </w:tc>
        <w:tc>
          <w:tcPr>
            <w:tcW w:w="0" w:type="auto"/>
            <w:tcBorders>
              <w:top w:val="single" w:sz="12" w:space="0" w:color="6C757D"/>
              <w:left w:val="single" w:sz="2" w:space="0" w:color="auto"/>
              <w:bottom w:val="single" w:sz="12" w:space="0" w:color="6C757D"/>
              <w:right w:val="single" w:sz="2" w:space="0" w:color="auto"/>
            </w:tcBorders>
            <w:hideMark/>
          </w:tcPr>
          <w:p w14:paraId="4CDCDF78"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proofErr w:type="spellStart"/>
            <w:r w:rsidRPr="008C6A13">
              <w:rPr>
                <w:rFonts w:ascii="Times New Roman" w:eastAsia="Times New Roman" w:hAnsi="Times New Roman" w:cs="Times New Roman"/>
                <w:b/>
                <w:bCs/>
                <w:color w:val="15171A"/>
                <w:kern w:val="0"/>
                <w14:ligatures w14:val="none"/>
              </w:rPr>
              <w:t>HBeAg</w:t>
            </w:r>
            <w:proofErr w:type="spellEnd"/>
          </w:p>
        </w:tc>
        <w:tc>
          <w:tcPr>
            <w:tcW w:w="0" w:type="auto"/>
            <w:tcBorders>
              <w:top w:val="single" w:sz="12" w:space="0" w:color="6C757D"/>
              <w:left w:val="single" w:sz="2" w:space="0" w:color="auto"/>
              <w:bottom w:val="single" w:sz="12" w:space="0" w:color="6C757D"/>
              <w:right w:val="single" w:sz="2" w:space="0" w:color="auto"/>
            </w:tcBorders>
            <w:hideMark/>
          </w:tcPr>
          <w:p w14:paraId="5075EE16"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Anti-</w:t>
            </w:r>
            <w:proofErr w:type="spellStart"/>
            <w:r w:rsidRPr="008C6A13">
              <w:rPr>
                <w:rFonts w:ascii="Times New Roman" w:eastAsia="Times New Roman" w:hAnsi="Times New Roman" w:cs="Times New Roman"/>
                <w:b/>
                <w:bCs/>
                <w:color w:val="15171A"/>
                <w:kern w:val="0"/>
                <w14:ligatures w14:val="none"/>
              </w:rPr>
              <w:t>HBe</w:t>
            </w:r>
            <w:proofErr w:type="spellEnd"/>
          </w:p>
        </w:tc>
        <w:tc>
          <w:tcPr>
            <w:tcW w:w="0" w:type="auto"/>
            <w:tcBorders>
              <w:top w:val="single" w:sz="12" w:space="0" w:color="6C757D"/>
              <w:left w:val="single" w:sz="2" w:space="0" w:color="auto"/>
              <w:bottom w:val="single" w:sz="12" w:space="0" w:color="6C757D"/>
              <w:right w:val="single" w:sz="2" w:space="0" w:color="auto"/>
            </w:tcBorders>
            <w:hideMark/>
          </w:tcPr>
          <w:p w14:paraId="573BA69F"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HBV DNA (IU/mL)</w:t>
            </w:r>
          </w:p>
        </w:tc>
        <w:tc>
          <w:tcPr>
            <w:tcW w:w="12255" w:type="dxa"/>
            <w:tcBorders>
              <w:top w:val="single" w:sz="12" w:space="0" w:color="6C757D"/>
              <w:left w:val="single" w:sz="2" w:space="0" w:color="auto"/>
              <w:bottom w:val="single" w:sz="12" w:space="0" w:color="6C757D"/>
              <w:right w:val="nil"/>
            </w:tcBorders>
            <w:hideMark/>
          </w:tcPr>
          <w:p w14:paraId="2673F96E" w14:textId="77777777" w:rsidR="008C6A13" w:rsidRPr="008C6A13" w:rsidRDefault="008C6A13" w:rsidP="008C6A13">
            <w:pPr>
              <w:spacing w:after="0" w:line="240" w:lineRule="auto"/>
              <w:rPr>
                <w:rFonts w:ascii="Times New Roman" w:eastAsia="Times New Roman" w:hAnsi="Times New Roman" w:cs="Times New Roman"/>
                <w:b/>
                <w:bCs/>
                <w:color w:val="15171A"/>
                <w:kern w:val="0"/>
                <w14:ligatures w14:val="none"/>
              </w:rPr>
            </w:pPr>
            <w:r w:rsidRPr="008C6A13">
              <w:rPr>
                <w:rFonts w:ascii="Times New Roman" w:eastAsia="Times New Roman" w:hAnsi="Times New Roman" w:cs="Times New Roman"/>
                <w:b/>
                <w:bCs/>
                <w:color w:val="15171A"/>
                <w:kern w:val="0"/>
                <w14:ligatures w14:val="none"/>
              </w:rPr>
              <w:t>ALT</w:t>
            </w:r>
          </w:p>
        </w:tc>
      </w:tr>
      <w:tr w:rsidR="008C6A13" w:rsidRPr="008C6A13" w14:paraId="42A795D3" w14:textId="77777777">
        <w:tc>
          <w:tcPr>
            <w:tcW w:w="0" w:type="auto"/>
            <w:tcBorders>
              <w:top w:val="single" w:sz="6" w:space="0" w:color="ADB5BD"/>
              <w:left w:val="nil"/>
              <w:bottom w:val="single" w:sz="6" w:space="0" w:color="ADB5BD"/>
              <w:right w:val="nil"/>
            </w:tcBorders>
            <w:hideMark/>
          </w:tcPr>
          <w:p w14:paraId="6391CBF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Immunized</w:t>
            </w:r>
          </w:p>
        </w:tc>
        <w:tc>
          <w:tcPr>
            <w:tcW w:w="0" w:type="auto"/>
            <w:tcBorders>
              <w:top w:val="single" w:sz="6" w:space="0" w:color="ADB5BD"/>
              <w:left w:val="single" w:sz="6" w:space="0" w:color="ADB5BD"/>
              <w:bottom w:val="single" w:sz="6" w:space="0" w:color="ADB5BD"/>
              <w:right w:val="nil"/>
            </w:tcBorders>
            <w:hideMark/>
          </w:tcPr>
          <w:p w14:paraId="6B4A5FBA"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1F4747BA"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C97664B"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273BF5CF"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4251C04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5549E82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F5B751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Normal</w:t>
            </w:r>
          </w:p>
        </w:tc>
      </w:tr>
      <w:tr w:rsidR="008C6A13" w:rsidRPr="008C6A13" w14:paraId="3109F2C3" w14:textId="77777777">
        <w:tc>
          <w:tcPr>
            <w:tcW w:w="0" w:type="auto"/>
            <w:tcBorders>
              <w:top w:val="single" w:sz="6" w:space="0" w:color="ADB5BD"/>
              <w:left w:val="nil"/>
              <w:bottom w:val="single" w:sz="6" w:space="0" w:color="ADB5BD"/>
              <w:right w:val="nil"/>
            </w:tcBorders>
            <w:hideMark/>
          </w:tcPr>
          <w:p w14:paraId="322B8869"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Acute infection</w:t>
            </w:r>
          </w:p>
        </w:tc>
        <w:tc>
          <w:tcPr>
            <w:tcW w:w="0" w:type="auto"/>
            <w:tcBorders>
              <w:top w:val="single" w:sz="6" w:space="0" w:color="ADB5BD"/>
              <w:left w:val="single" w:sz="6" w:space="0" w:color="ADB5BD"/>
              <w:bottom w:val="single" w:sz="6" w:space="0" w:color="ADB5BD"/>
              <w:right w:val="nil"/>
            </w:tcBorders>
            <w:hideMark/>
          </w:tcPr>
          <w:p w14:paraId="4B1CE5E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2EADC7BC"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5BD43CD4"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(IgM)</w:t>
            </w:r>
          </w:p>
        </w:tc>
        <w:tc>
          <w:tcPr>
            <w:tcW w:w="0" w:type="auto"/>
            <w:tcBorders>
              <w:top w:val="single" w:sz="6" w:space="0" w:color="ADB5BD"/>
              <w:left w:val="single" w:sz="6" w:space="0" w:color="ADB5BD"/>
              <w:bottom w:val="single" w:sz="6" w:space="0" w:color="ADB5BD"/>
              <w:right w:val="nil"/>
            </w:tcBorders>
            <w:hideMark/>
          </w:tcPr>
          <w:p w14:paraId="782E806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2B01FFFC"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6C6425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7EEBA44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Increased</w:t>
            </w:r>
          </w:p>
        </w:tc>
      </w:tr>
      <w:tr w:rsidR="008C6A13" w:rsidRPr="008C6A13" w14:paraId="0A96F2B6" w14:textId="77777777">
        <w:tc>
          <w:tcPr>
            <w:tcW w:w="0" w:type="auto"/>
            <w:tcBorders>
              <w:top w:val="single" w:sz="6" w:space="0" w:color="ADB5BD"/>
              <w:left w:val="nil"/>
              <w:bottom w:val="single" w:sz="6" w:space="0" w:color="ADB5BD"/>
              <w:right w:val="nil"/>
            </w:tcBorders>
            <w:hideMark/>
          </w:tcPr>
          <w:p w14:paraId="65B2FAE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Resolved infection</w:t>
            </w:r>
          </w:p>
        </w:tc>
        <w:tc>
          <w:tcPr>
            <w:tcW w:w="0" w:type="auto"/>
            <w:tcBorders>
              <w:top w:val="single" w:sz="6" w:space="0" w:color="ADB5BD"/>
              <w:left w:val="single" w:sz="6" w:space="0" w:color="ADB5BD"/>
              <w:bottom w:val="single" w:sz="6" w:space="0" w:color="ADB5BD"/>
              <w:right w:val="nil"/>
            </w:tcBorders>
            <w:hideMark/>
          </w:tcPr>
          <w:p w14:paraId="1E4F73FD"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69217A1D"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4456962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(total)</w:t>
            </w:r>
          </w:p>
        </w:tc>
        <w:tc>
          <w:tcPr>
            <w:tcW w:w="0" w:type="auto"/>
            <w:tcBorders>
              <w:top w:val="single" w:sz="6" w:space="0" w:color="ADB5BD"/>
              <w:left w:val="single" w:sz="6" w:space="0" w:color="ADB5BD"/>
              <w:bottom w:val="single" w:sz="6" w:space="0" w:color="ADB5BD"/>
              <w:right w:val="nil"/>
            </w:tcBorders>
            <w:hideMark/>
          </w:tcPr>
          <w:p w14:paraId="48CA69E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184D6457"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6C0F1187"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19206387"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Normal</w:t>
            </w:r>
          </w:p>
        </w:tc>
      </w:tr>
      <w:tr w:rsidR="008C6A13" w:rsidRPr="008C6A13" w14:paraId="36A6F25E" w14:textId="77777777">
        <w:tc>
          <w:tcPr>
            <w:tcW w:w="0" w:type="auto"/>
            <w:tcBorders>
              <w:top w:val="single" w:sz="6" w:space="0" w:color="ADB5BD"/>
              <w:left w:val="nil"/>
              <w:bottom w:val="single" w:sz="6" w:space="0" w:color="ADB5BD"/>
              <w:right w:val="nil"/>
            </w:tcBorders>
            <w:hideMark/>
          </w:tcPr>
          <w:p w14:paraId="5BE9DA3A"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Chronic HBV infection</w:t>
            </w:r>
          </w:p>
        </w:tc>
        <w:tc>
          <w:tcPr>
            <w:tcW w:w="0" w:type="auto"/>
            <w:tcBorders>
              <w:top w:val="single" w:sz="6" w:space="0" w:color="ADB5BD"/>
              <w:left w:val="single" w:sz="6" w:space="0" w:color="ADB5BD"/>
              <w:bottom w:val="single" w:sz="6" w:space="0" w:color="ADB5BD"/>
              <w:right w:val="nil"/>
            </w:tcBorders>
            <w:hideMark/>
          </w:tcPr>
          <w:p w14:paraId="3565C00F"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p>
        </w:tc>
        <w:tc>
          <w:tcPr>
            <w:tcW w:w="0" w:type="auto"/>
            <w:tcBorders>
              <w:top w:val="single" w:sz="6" w:space="0" w:color="ADB5BD"/>
              <w:left w:val="single" w:sz="6" w:space="0" w:color="ADB5BD"/>
              <w:bottom w:val="single" w:sz="6" w:space="0" w:color="ADB5BD"/>
              <w:right w:val="nil"/>
            </w:tcBorders>
            <w:hideMark/>
          </w:tcPr>
          <w:p w14:paraId="1B85C2E3"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DB5BD"/>
              <w:left w:val="single" w:sz="6" w:space="0" w:color="ADB5BD"/>
              <w:bottom w:val="single" w:sz="6" w:space="0" w:color="ADB5BD"/>
              <w:right w:val="nil"/>
            </w:tcBorders>
            <w:hideMark/>
          </w:tcPr>
          <w:p w14:paraId="75924438"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DB5BD"/>
              <w:left w:val="single" w:sz="6" w:space="0" w:color="ADB5BD"/>
              <w:bottom w:val="single" w:sz="6" w:space="0" w:color="ADB5BD"/>
              <w:right w:val="nil"/>
            </w:tcBorders>
            <w:hideMark/>
          </w:tcPr>
          <w:p w14:paraId="07501CAC"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DB5BD"/>
              <w:left w:val="single" w:sz="6" w:space="0" w:color="ADB5BD"/>
              <w:bottom w:val="single" w:sz="6" w:space="0" w:color="ADB5BD"/>
              <w:right w:val="nil"/>
            </w:tcBorders>
            <w:hideMark/>
          </w:tcPr>
          <w:p w14:paraId="27689D6C"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DB5BD"/>
              <w:left w:val="single" w:sz="6" w:space="0" w:color="ADB5BD"/>
              <w:bottom w:val="single" w:sz="6" w:space="0" w:color="ADB5BD"/>
              <w:right w:val="nil"/>
            </w:tcBorders>
            <w:hideMark/>
          </w:tcPr>
          <w:p w14:paraId="736BEEC8"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ADB5BD"/>
              <w:left w:val="single" w:sz="6" w:space="0" w:color="ADB5BD"/>
              <w:bottom w:val="single" w:sz="6" w:space="0" w:color="ADB5BD"/>
              <w:right w:val="nil"/>
            </w:tcBorders>
            <w:hideMark/>
          </w:tcPr>
          <w:p w14:paraId="0EB4517D" w14:textId="77777777" w:rsidR="008C6A13" w:rsidRPr="008C6A13" w:rsidRDefault="008C6A13" w:rsidP="008C6A13">
            <w:pPr>
              <w:spacing w:after="0" w:line="240" w:lineRule="auto"/>
              <w:rPr>
                <w:rFonts w:ascii="Times New Roman" w:eastAsia="Times New Roman" w:hAnsi="Times New Roman" w:cs="Times New Roman"/>
                <w:kern w:val="0"/>
                <w:sz w:val="20"/>
                <w:szCs w:val="20"/>
                <w14:ligatures w14:val="none"/>
              </w:rPr>
            </w:pPr>
          </w:p>
        </w:tc>
      </w:tr>
      <w:tr w:rsidR="008C6A13" w:rsidRPr="008C6A13" w14:paraId="5659E808" w14:textId="77777777">
        <w:tc>
          <w:tcPr>
            <w:tcW w:w="0" w:type="auto"/>
            <w:tcBorders>
              <w:top w:val="single" w:sz="6" w:space="0" w:color="ADB5BD"/>
              <w:left w:val="nil"/>
              <w:bottom w:val="single" w:sz="6" w:space="0" w:color="ADB5BD"/>
              <w:right w:val="nil"/>
            </w:tcBorders>
            <w:hideMark/>
          </w:tcPr>
          <w:p w14:paraId="3DACBE57"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Immune tolerant</w:t>
            </w:r>
          </w:p>
        </w:tc>
        <w:tc>
          <w:tcPr>
            <w:tcW w:w="0" w:type="auto"/>
            <w:tcBorders>
              <w:top w:val="single" w:sz="6" w:space="0" w:color="ADB5BD"/>
              <w:left w:val="single" w:sz="6" w:space="0" w:color="ADB5BD"/>
              <w:bottom w:val="single" w:sz="6" w:space="0" w:color="ADB5BD"/>
              <w:right w:val="nil"/>
            </w:tcBorders>
            <w:hideMark/>
          </w:tcPr>
          <w:p w14:paraId="270EE04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0BFDBD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5B628AB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(total)</w:t>
            </w:r>
          </w:p>
        </w:tc>
        <w:tc>
          <w:tcPr>
            <w:tcW w:w="0" w:type="auto"/>
            <w:tcBorders>
              <w:top w:val="single" w:sz="6" w:space="0" w:color="ADB5BD"/>
              <w:left w:val="single" w:sz="6" w:space="0" w:color="ADB5BD"/>
              <w:bottom w:val="single" w:sz="6" w:space="0" w:color="ADB5BD"/>
              <w:right w:val="nil"/>
            </w:tcBorders>
            <w:hideMark/>
          </w:tcPr>
          <w:p w14:paraId="6E70A21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72072B3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1811B52D"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&gt;1 million</w:t>
            </w:r>
          </w:p>
        </w:tc>
        <w:tc>
          <w:tcPr>
            <w:tcW w:w="0" w:type="auto"/>
            <w:tcBorders>
              <w:top w:val="single" w:sz="6" w:space="0" w:color="ADB5BD"/>
              <w:left w:val="single" w:sz="6" w:space="0" w:color="ADB5BD"/>
              <w:bottom w:val="single" w:sz="6" w:space="0" w:color="ADB5BD"/>
              <w:right w:val="nil"/>
            </w:tcBorders>
            <w:hideMark/>
          </w:tcPr>
          <w:p w14:paraId="7A602AE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Normal or mildly elevated</w:t>
            </w:r>
          </w:p>
        </w:tc>
      </w:tr>
      <w:tr w:rsidR="008C6A13" w:rsidRPr="008C6A13" w14:paraId="28A7E1EF" w14:textId="77777777">
        <w:tc>
          <w:tcPr>
            <w:tcW w:w="0" w:type="auto"/>
            <w:tcBorders>
              <w:top w:val="single" w:sz="6" w:space="0" w:color="ADB5BD"/>
              <w:left w:val="nil"/>
              <w:bottom w:val="single" w:sz="6" w:space="0" w:color="ADB5BD"/>
              <w:right w:val="nil"/>
            </w:tcBorders>
            <w:hideMark/>
          </w:tcPr>
          <w:p w14:paraId="5227632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Immune active</w:t>
            </w:r>
          </w:p>
        </w:tc>
        <w:tc>
          <w:tcPr>
            <w:tcW w:w="0" w:type="auto"/>
            <w:tcBorders>
              <w:top w:val="single" w:sz="6" w:space="0" w:color="ADB5BD"/>
              <w:left w:val="single" w:sz="6" w:space="0" w:color="ADB5BD"/>
              <w:bottom w:val="single" w:sz="6" w:space="0" w:color="ADB5BD"/>
              <w:right w:val="nil"/>
            </w:tcBorders>
            <w:hideMark/>
          </w:tcPr>
          <w:p w14:paraId="4C12DC3A"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A9784D9"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71D0424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(total)</w:t>
            </w:r>
          </w:p>
        </w:tc>
        <w:tc>
          <w:tcPr>
            <w:tcW w:w="0" w:type="auto"/>
            <w:tcBorders>
              <w:top w:val="single" w:sz="6" w:space="0" w:color="ADB5BD"/>
              <w:left w:val="single" w:sz="6" w:space="0" w:color="ADB5BD"/>
              <w:bottom w:val="single" w:sz="6" w:space="0" w:color="ADB5BD"/>
              <w:right w:val="nil"/>
            </w:tcBorders>
            <w:hideMark/>
          </w:tcPr>
          <w:p w14:paraId="5D8ADE7A"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3385DBF1"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31537C6D"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xml:space="preserve">&gt;2000 </w:t>
            </w:r>
            <w:proofErr w:type="spellStart"/>
            <w:r w:rsidRPr="008C6A13">
              <w:rPr>
                <w:rFonts w:ascii="Times New Roman" w:eastAsia="Times New Roman" w:hAnsi="Times New Roman" w:cs="Times New Roman"/>
                <w:color w:val="15171A"/>
                <w:kern w:val="0"/>
                <w14:ligatures w14:val="none"/>
              </w:rPr>
              <w:t>HBeAg</w:t>
            </w:r>
            <w:proofErr w:type="spellEnd"/>
            <w:r w:rsidRPr="008C6A13">
              <w:rPr>
                <w:rFonts w:ascii="Times New Roman" w:eastAsia="Times New Roman" w:hAnsi="Times New Roman" w:cs="Times New Roman"/>
                <w:color w:val="15171A"/>
                <w:kern w:val="0"/>
                <w14:ligatures w14:val="none"/>
              </w:rPr>
              <w:t xml:space="preserve"> negative; &gt;20,000 </w:t>
            </w:r>
            <w:proofErr w:type="spellStart"/>
            <w:r w:rsidRPr="008C6A13">
              <w:rPr>
                <w:rFonts w:ascii="Times New Roman" w:eastAsia="Times New Roman" w:hAnsi="Times New Roman" w:cs="Times New Roman"/>
                <w:color w:val="15171A"/>
                <w:kern w:val="0"/>
                <w14:ligatures w14:val="none"/>
              </w:rPr>
              <w:t>HBeAg</w:t>
            </w:r>
            <w:proofErr w:type="spellEnd"/>
            <w:r w:rsidRPr="008C6A13">
              <w:rPr>
                <w:rFonts w:ascii="Times New Roman" w:eastAsia="Times New Roman" w:hAnsi="Times New Roman" w:cs="Times New Roman"/>
                <w:color w:val="15171A"/>
                <w:kern w:val="0"/>
                <w14:ligatures w14:val="none"/>
              </w:rPr>
              <w:t xml:space="preserve"> positive</w:t>
            </w:r>
          </w:p>
        </w:tc>
        <w:tc>
          <w:tcPr>
            <w:tcW w:w="0" w:type="auto"/>
            <w:tcBorders>
              <w:top w:val="single" w:sz="6" w:space="0" w:color="ADB5BD"/>
              <w:left w:val="single" w:sz="6" w:space="0" w:color="ADB5BD"/>
              <w:bottom w:val="single" w:sz="6" w:space="0" w:color="ADB5BD"/>
              <w:right w:val="nil"/>
            </w:tcBorders>
            <w:hideMark/>
          </w:tcPr>
          <w:p w14:paraId="6AD92D3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Increased (intermittent or persistent)</w:t>
            </w:r>
          </w:p>
        </w:tc>
      </w:tr>
      <w:tr w:rsidR="008C6A13" w:rsidRPr="008C6A13" w14:paraId="749306E1" w14:textId="77777777">
        <w:tc>
          <w:tcPr>
            <w:tcW w:w="0" w:type="auto"/>
            <w:tcBorders>
              <w:top w:val="single" w:sz="6" w:space="0" w:color="ADB5BD"/>
              <w:left w:val="nil"/>
              <w:bottom w:val="single" w:sz="6" w:space="0" w:color="ADB5BD"/>
              <w:right w:val="nil"/>
            </w:tcBorders>
            <w:hideMark/>
          </w:tcPr>
          <w:p w14:paraId="4B93509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Inactive</w:t>
            </w:r>
          </w:p>
        </w:tc>
        <w:tc>
          <w:tcPr>
            <w:tcW w:w="0" w:type="auto"/>
            <w:tcBorders>
              <w:top w:val="single" w:sz="6" w:space="0" w:color="ADB5BD"/>
              <w:left w:val="single" w:sz="6" w:space="0" w:color="ADB5BD"/>
              <w:bottom w:val="single" w:sz="6" w:space="0" w:color="ADB5BD"/>
              <w:right w:val="nil"/>
            </w:tcBorders>
            <w:hideMark/>
          </w:tcPr>
          <w:p w14:paraId="6D875E42"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7D380D06"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6A58938B"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 (total)</w:t>
            </w:r>
          </w:p>
        </w:tc>
        <w:tc>
          <w:tcPr>
            <w:tcW w:w="0" w:type="auto"/>
            <w:tcBorders>
              <w:top w:val="single" w:sz="6" w:space="0" w:color="ADB5BD"/>
              <w:left w:val="single" w:sz="6" w:space="0" w:color="ADB5BD"/>
              <w:bottom w:val="single" w:sz="6" w:space="0" w:color="ADB5BD"/>
              <w:right w:val="nil"/>
            </w:tcBorders>
            <w:hideMark/>
          </w:tcPr>
          <w:p w14:paraId="632118C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7C08FF8"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w:t>
            </w:r>
          </w:p>
        </w:tc>
        <w:tc>
          <w:tcPr>
            <w:tcW w:w="0" w:type="auto"/>
            <w:tcBorders>
              <w:top w:val="single" w:sz="6" w:space="0" w:color="ADB5BD"/>
              <w:left w:val="single" w:sz="6" w:space="0" w:color="ADB5BD"/>
              <w:bottom w:val="single" w:sz="6" w:space="0" w:color="ADB5BD"/>
              <w:right w:val="nil"/>
            </w:tcBorders>
            <w:hideMark/>
          </w:tcPr>
          <w:p w14:paraId="015FD25F"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&lt;2000 (when measured every 3-4 months for 1 year)</w:t>
            </w:r>
          </w:p>
        </w:tc>
        <w:tc>
          <w:tcPr>
            <w:tcW w:w="0" w:type="auto"/>
            <w:tcBorders>
              <w:top w:val="single" w:sz="6" w:space="0" w:color="ADB5BD"/>
              <w:left w:val="single" w:sz="6" w:space="0" w:color="ADB5BD"/>
              <w:bottom w:val="single" w:sz="6" w:space="0" w:color="ADB5BD"/>
              <w:right w:val="nil"/>
            </w:tcBorders>
            <w:hideMark/>
          </w:tcPr>
          <w:p w14:paraId="54163F9B"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Normal</w:t>
            </w:r>
          </w:p>
        </w:tc>
      </w:tr>
    </w:tbl>
    <w:p w14:paraId="477BEEC8" w14:textId="77777777" w:rsidR="008C6A13" w:rsidRPr="008C6A13" w:rsidRDefault="008C6A13" w:rsidP="008C6A13">
      <w:pPr>
        <w:shd w:val="clear" w:color="auto" w:fill="FFFFFF"/>
        <w:spacing w:after="0"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ALT = alanine aminotransferase; anti-HBc = antibody to hepatitis B core antigen; anti-</w:t>
      </w:r>
      <w:proofErr w:type="spellStart"/>
      <w:r w:rsidRPr="008C6A13">
        <w:rPr>
          <w:rFonts w:ascii="Times New Roman" w:eastAsia="Times New Roman" w:hAnsi="Times New Roman" w:cs="Times New Roman"/>
          <w:kern w:val="0"/>
          <w14:ligatures w14:val="none"/>
        </w:rPr>
        <w:t>HBe</w:t>
      </w:r>
      <w:proofErr w:type="spellEnd"/>
      <w:r w:rsidRPr="008C6A13">
        <w:rPr>
          <w:rFonts w:ascii="Times New Roman" w:eastAsia="Times New Roman" w:hAnsi="Times New Roman" w:cs="Times New Roman"/>
          <w:kern w:val="0"/>
          <w14:ligatures w14:val="none"/>
        </w:rPr>
        <w:t xml:space="preserve"> = antibody to hepatitis B e antigen; anti-HBs = antibody to hepatitis B surface antigen; </w:t>
      </w:r>
      <w:proofErr w:type="spellStart"/>
      <w:r w:rsidRPr="008C6A13">
        <w:rPr>
          <w:rFonts w:ascii="Times New Roman" w:eastAsia="Times New Roman" w:hAnsi="Times New Roman" w:cs="Times New Roman"/>
          <w:kern w:val="0"/>
          <w14:ligatures w14:val="none"/>
        </w:rPr>
        <w:t>HBeAg</w:t>
      </w:r>
      <w:proofErr w:type="spellEnd"/>
      <w:r w:rsidRPr="008C6A13">
        <w:rPr>
          <w:rFonts w:ascii="Times New Roman" w:eastAsia="Times New Roman" w:hAnsi="Times New Roman" w:cs="Times New Roman"/>
          <w:kern w:val="0"/>
          <w14:ligatures w14:val="none"/>
        </w:rPr>
        <w:t xml:space="preserve"> = hepatitis B e antigen; HBsAg = hepatitis B surface antigen; HBV = hepatitis B virus.</w:t>
      </w:r>
    </w:p>
    <w:p w14:paraId="78845109" w14:textId="77777777" w:rsidR="008C6A13" w:rsidRPr="008C6A13" w:rsidRDefault="008C6A13" w:rsidP="008C6A13">
      <w:pPr>
        <w:shd w:val="clear" w:color="auto" w:fill="FFFFFF"/>
        <w:spacing w:after="0"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 xml:space="preserve">Data from </w:t>
      </w:r>
      <w:proofErr w:type="spellStart"/>
      <w:r w:rsidRPr="008C6A13">
        <w:rPr>
          <w:rFonts w:ascii="Times New Roman" w:eastAsia="Times New Roman" w:hAnsi="Times New Roman" w:cs="Times New Roman"/>
          <w:kern w:val="0"/>
          <w14:ligatures w14:val="none"/>
        </w:rPr>
        <w:t>Terrault</w:t>
      </w:r>
      <w:proofErr w:type="spellEnd"/>
      <w:r w:rsidRPr="008C6A13">
        <w:rPr>
          <w:rFonts w:ascii="Times New Roman" w:eastAsia="Times New Roman" w:hAnsi="Times New Roman" w:cs="Times New Roman"/>
          <w:kern w:val="0"/>
          <w14:ligatures w14:val="none"/>
        </w:rPr>
        <w:t xml:space="preserve"> NA, Lok ASF, McMahon BJ, et al. Update on prevention, diagnosis, and treatment of chronic hepatitis B: AASLD 2018 hepatitis B guidance. Hepatology. </w:t>
      </w:r>
      <w:proofErr w:type="gramStart"/>
      <w:r w:rsidRPr="008C6A13">
        <w:rPr>
          <w:rFonts w:ascii="Times New Roman" w:eastAsia="Times New Roman" w:hAnsi="Times New Roman" w:cs="Times New Roman"/>
          <w:kern w:val="0"/>
          <w14:ligatures w14:val="none"/>
        </w:rPr>
        <w:t>2018;67:1560</w:t>
      </w:r>
      <w:proofErr w:type="gramEnd"/>
      <w:r w:rsidRPr="008C6A13">
        <w:rPr>
          <w:rFonts w:ascii="Times New Roman" w:eastAsia="Times New Roman" w:hAnsi="Times New Roman" w:cs="Times New Roman"/>
          <w:kern w:val="0"/>
          <w14:ligatures w14:val="none"/>
        </w:rPr>
        <w:t>-99. </w:t>
      </w:r>
      <w:hyperlink r:id="rId9" w:tgtFrame="_blank" w:history="1">
        <w:r w:rsidRPr="008C6A13">
          <w:rPr>
            <w:rFonts w:ascii="inherit" w:eastAsia="Times New Roman" w:hAnsi="inherit" w:cs="Times New Roman"/>
            <w:color w:val="0063BE"/>
            <w:kern w:val="0"/>
            <w:u w:val="single"/>
            <w:bdr w:val="none" w:sz="0" w:space="0" w:color="auto" w:frame="1"/>
            <w14:ligatures w14:val="none"/>
          </w:rPr>
          <w:t>PMID: 29405329</w:t>
        </w:r>
      </w:hyperlink>
      <w:r w:rsidRPr="008C6A13">
        <w:rPr>
          <w:rFonts w:ascii="Times New Roman" w:eastAsia="Times New Roman" w:hAnsi="Times New Roman" w:cs="Times New Roman"/>
          <w:kern w:val="0"/>
          <w14:ligatures w14:val="none"/>
        </w:rPr>
        <w:t> doi:10.1002/hep.29800.</w:t>
      </w:r>
    </w:p>
    <w:p w14:paraId="0725B312"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Treatment with nucleoside analogues (entecavir or tenofovir) is advised for patients with acute liver failure, those in the immune-active phase or reactivation phase (generally those with viremia and elevated aminotransferase levels and/or necroinflammation on histopathology), and those with cirrhosis. Treatment is also recommended at the beginning of the third trimester in pregnant patients with viral load greater than 200,000 IU/</w:t>
      </w:r>
      <w:proofErr w:type="spellStart"/>
      <w:r w:rsidRPr="008C6A13">
        <w:rPr>
          <w:rFonts w:ascii="Times New Roman" w:eastAsia="Times New Roman" w:hAnsi="Times New Roman" w:cs="Times New Roman"/>
          <w:kern w:val="0"/>
          <w14:ligatures w14:val="none"/>
        </w:rPr>
        <w:t>mL.</w:t>
      </w:r>
      <w:proofErr w:type="spellEnd"/>
      <w:r w:rsidRPr="008C6A13">
        <w:rPr>
          <w:rFonts w:ascii="Times New Roman" w:eastAsia="Times New Roman" w:hAnsi="Times New Roman" w:cs="Times New Roman"/>
          <w:kern w:val="0"/>
          <w14:ligatures w14:val="none"/>
        </w:rPr>
        <w:t xml:space="preserve"> Lamivudine, adefovir, and </w:t>
      </w:r>
      <w:r w:rsidRPr="008C6A13">
        <w:rPr>
          <w:rFonts w:ascii="Times New Roman" w:eastAsia="Times New Roman" w:hAnsi="Times New Roman" w:cs="Times New Roman"/>
          <w:kern w:val="0"/>
          <w14:ligatures w14:val="none"/>
        </w:rPr>
        <w:lastRenderedPageBreak/>
        <w:t>telbivudine are no longer recommended because of resistance. Treatment of HBV infection in pregnancy is discussed in </w:t>
      </w:r>
      <w:hyperlink r:id="rId10" w:history="1">
        <w:r w:rsidRPr="008C6A13">
          <w:rPr>
            <w:rFonts w:ascii="inherit" w:eastAsia="Times New Roman" w:hAnsi="inherit" w:cs="Times New Roman"/>
            <w:color w:val="0063BE"/>
            <w:kern w:val="0"/>
            <w:u w:val="single"/>
            <w:bdr w:val="none" w:sz="0" w:space="0" w:color="auto" w:frame="1"/>
            <w14:ligatures w14:val="none"/>
          </w:rPr>
          <w:t>Viral Hepatitis in Hepatology and Biliary Tract Disease</w:t>
        </w:r>
      </w:hyperlink>
      <w:r w:rsidRPr="008C6A13">
        <w:rPr>
          <w:rFonts w:ascii="Times New Roman" w:eastAsia="Times New Roman" w:hAnsi="Times New Roman" w:cs="Times New Roman"/>
          <w:kern w:val="0"/>
          <w14:ligatures w14:val="none"/>
        </w:rPr>
        <w:t>.</w:t>
      </w:r>
    </w:p>
    <w:p w14:paraId="4C536320"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Treatment goals for patients in the hepatitis B e antigen (</w:t>
      </w:r>
      <w:proofErr w:type="spellStart"/>
      <w:r w:rsidRPr="008C6A13">
        <w:rPr>
          <w:rFonts w:ascii="Times New Roman" w:eastAsia="Times New Roman" w:hAnsi="Times New Roman" w:cs="Times New Roman"/>
          <w:kern w:val="0"/>
          <w14:ligatures w14:val="none"/>
        </w:rPr>
        <w:t>HBeAg</w:t>
      </w:r>
      <w:proofErr w:type="spellEnd"/>
      <w:r w:rsidRPr="008C6A13">
        <w:rPr>
          <w:rFonts w:ascii="Times New Roman" w:eastAsia="Times New Roman" w:hAnsi="Times New Roman" w:cs="Times New Roman"/>
          <w:kern w:val="0"/>
          <w14:ligatures w14:val="none"/>
        </w:rPr>
        <w:t xml:space="preserve">)–positive immune-active phase are </w:t>
      </w:r>
      <w:proofErr w:type="spellStart"/>
      <w:r w:rsidRPr="008C6A13">
        <w:rPr>
          <w:rFonts w:ascii="Times New Roman" w:eastAsia="Times New Roman" w:hAnsi="Times New Roman" w:cs="Times New Roman"/>
          <w:kern w:val="0"/>
          <w14:ligatures w14:val="none"/>
        </w:rPr>
        <w:t>HBeAg</w:t>
      </w:r>
      <w:proofErr w:type="spellEnd"/>
      <w:r w:rsidRPr="008C6A13">
        <w:rPr>
          <w:rFonts w:ascii="Times New Roman" w:eastAsia="Times New Roman" w:hAnsi="Times New Roman" w:cs="Times New Roman"/>
          <w:kern w:val="0"/>
          <w14:ligatures w14:val="none"/>
        </w:rPr>
        <w:t xml:space="preserve"> loss with anti-</w:t>
      </w:r>
      <w:proofErr w:type="spellStart"/>
      <w:r w:rsidRPr="008C6A13">
        <w:rPr>
          <w:rFonts w:ascii="Times New Roman" w:eastAsia="Times New Roman" w:hAnsi="Times New Roman" w:cs="Times New Roman"/>
          <w:kern w:val="0"/>
          <w14:ligatures w14:val="none"/>
        </w:rPr>
        <w:t>HBe</w:t>
      </w:r>
      <w:proofErr w:type="spellEnd"/>
      <w:r w:rsidRPr="008C6A13">
        <w:rPr>
          <w:rFonts w:ascii="Times New Roman" w:eastAsia="Times New Roman" w:hAnsi="Times New Roman" w:cs="Times New Roman"/>
          <w:kern w:val="0"/>
          <w14:ligatures w14:val="none"/>
        </w:rPr>
        <w:t xml:space="preserve"> seroconversion, which should then be followed by an additional 12 months of treatment (consolidation phase) before consideration of treatment withdrawal. Close follow-up is required to monitor for reactivation. Goals of treatment in the </w:t>
      </w:r>
      <w:proofErr w:type="spellStart"/>
      <w:r w:rsidRPr="008C6A13">
        <w:rPr>
          <w:rFonts w:ascii="Times New Roman" w:eastAsia="Times New Roman" w:hAnsi="Times New Roman" w:cs="Times New Roman"/>
          <w:kern w:val="0"/>
          <w14:ligatures w14:val="none"/>
        </w:rPr>
        <w:t>HBeAg</w:t>
      </w:r>
      <w:proofErr w:type="spellEnd"/>
      <w:r w:rsidRPr="008C6A13">
        <w:rPr>
          <w:rFonts w:ascii="Times New Roman" w:eastAsia="Times New Roman" w:hAnsi="Times New Roman" w:cs="Times New Roman"/>
          <w:kern w:val="0"/>
          <w14:ligatures w14:val="none"/>
        </w:rPr>
        <w:t>-negative immune-active phase are HBV DNA suppression and alanine aminotransferase (ALT) normalization; oral antiviral agents are generally continued indefinitely in this setting. Patients with cirrhosis should continue oral antiviral medications indefinitely. HBsAg loss, with or without anti-HB surface antibody seroconversion, is considered a “functional cure” but rarely occurs with oral antiviral treatment. Although poorly tolerated, pegylated interferon for 48 weeks may be considered in selected patients without cirrhosis who have high ALT levels and low HBV DNA levels.</w:t>
      </w:r>
    </w:p>
    <w:p w14:paraId="360E9532"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 xml:space="preserve">Management of an inactive carrier who is in the </w:t>
      </w:r>
      <w:proofErr w:type="spellStart"/>
      <w:r w:rsidRPr="008C6A13">
        <w:rPr>
          <w:rFonts w:ascii="Times New Roman" w:eastAsia="Times New Roman" w:hAnsi="Times New Roman" w:cs="Times New Roman"/>
          <w:kern w:val="0"/>
          <w14:ligatures w14:val="none"/>
        </w:rPr>
        <w:t>HbeAg</w:t>
      </w:r>
      <w:proofErr w:type="spellEnd"/>
      <w:r w:rsidRPr="008C6A13">
        <w:rPr>
          <w:rFonts w:ascii="Times New Roman" w:eastAsia="Times New Roman" w:hAnsi="Times New Roman" w:cs="Times New Roman"/>
          <w:kern w:val="0"/>
          <w14:ligatures w14:val="none"/>
        </w:rPr>
        <w:t>-negative immune-control phase includes obtaining ALT and HBV DNA levels every 6 to 12 months because there is a low risk for spontaneous reactivation; this testing should be performed sooner if symptoms concerning for hepatitis develop. Assessment for fibrosis should also be performed with a Fibrosis-4 (</w:t>
      </w:r>
      <w:hyperlink r:id="rId11" w:tgtFrame="_blank" w:history="1">
        <w:r w:rsidRPr="008C6A13">
          <w:rPr>
            <w:rFonts w:ascii="inherit" w:eastAsia="Times New Roman" w:hAnsi="inherit" w:cs="Times New Roman"/>
            <w:color w:val="0063BE"/>
            <w:kern w:val="0"/>
            <w:u w:val="single"/>
            <w:bdr w:val="none" w:sz="0" w:space="0" w:color="auto" w:frame="1"/>
            <w14:ligatures w14:val="none"/>
          </w:rPr>
          <w:t>FIB-4</w:t>
        </w:r>
      </w:hyperlink>
      <w:r w:rsidRPr="008C6A13">
        <w:rPr>
          <w:rFonts w:ascii="Times New Roman" w:eastAsia="Times New Roman" w:hAnsi="Times New Roman" w:cs="Times New Roman"/>
          <w:kern w:val="0"/>
          <w14:ligatures w14:val="none"/>
        </w:rPr>
        <w:t>) score, followed by elastography if indicated by the FIB-4 score. Treatment with antiviral therapy should be considered only if cirrhosis or evidence of reactivation is present.</w:t>
      </w:r>
    </w:p>
    <w:p w14:paraId="687E7F72"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Patients with chronic HBV infection (HBsAg-positive) or resolved HBV infection (HBsAg- negative and anti-HB core antibody–positive) may experience reactivation with significant immunosuppression, even if they are anti-HBs positive. Reactivation is characterized by a rise in HBV DNA and seroconversion to HBsAg positivity that is sometimes accompanied by IgM anti-HB core antibody positivity in previously HBsAg-negative/anti-HB core antibody (IgG)–positive patients. Reactivation may be asymptomatic, result in a hepatitis flare (evidenced by an ALT level &gt;100 U/L and more than threefold above baseline), or result in hepatic failure (</w:t>
      </w:r>
      <w:hyperlink r:id="rId12" w:history="1">
        <w:r w:rsidRPr="008C6A13">
          <w:rPr>
            <w:rFonts w:ascii="inherit" w:eastAsia="Times New Roman" w:hAnsi="inherit" w:cs="Times New Roman"/>
            <w:color w:val="0063BE"/>
            <w:kern w:val="0"/>
            <w:u w:val="single"/>
            <w:bdr w:val="none" w:sz="0" w:space="0" w:color="auto" w:frame="1"/>
            <w14:ligatures w14:val="none"/>
          </w:rPr>
          <w:t>Figure: Phases of Chronic Hepatitis B Virus Infection</w:t>
        </w:r>
      </w:hyperlink>
      <w:r w:rsidRPr="008C6A13">
        <w:rPr>
          <w:rFonts w:ascii="Times New Roman" w:eastAsia="Times New Roman" w:hAnsi="Times New Roman" w:cs="Times New Roman"/>
          <w:kern w:val="0"/>
          <w14:ligatures w14:val="none"/>
        </w:rPr>
        <w:t>).</w:t>
      </w:r>
    </w:p>
    <w:p w14:paraId="57EC21E9"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Patients taking immunosuppressive medications may be categorized as high risk (&gt;10%), moderate risk (1%-10%), or low risk (&lt;1%) for reactivation (</w:t>
      </w:r>
      <w:hyperlink r:id="rId13" w:history="1">
        <w:r w:rsidRPr="008C6A13">
          <w:rPr>
            <w:rFonts w:ascii="inherit" w:eastAsia="Times New Roman" w:hAnsi="inherit" w:cs="Times New Roman"/>
            <w:color w:val="0063BE"/>
            <w:kern w:val="0"/>
            <w:u w:val="single"/>
            <w:bdr w:val="none" w:sz="0" w:space="0" w:color="auto" w:frame="1"/>
            <w14:ligatures w14:val="none"/>
          </w:rPr>
          <w:t>Figure: Clinical Decision Support Tool for Hepatitis B Virus Reactivation</w:t>
        </w:r>
      </w:hyperlink>
      <w:r w:rsidRPr="008C6A13">
        <w:rPr>
          <w:rFonts w:ascii="Times New Roman" w:eastAsia="Times New Roman" w:hAnsi="Times New Roman" w:cs="Times New Roman"/>
          <w:kern w:val="0"/>
          <w14:ligatures w14:val="none"/>
        </w:rPr>
        <w:t>). Patients at high risk should receive prophylactic oral antiviral therapy (tenofovir or entecavir). The American Gastroenterological Association suggests prophylactic antiviral therapy for patients at moderate risk as well, although monitoring at 1- to 3-month intervals could be considered as an alternative strategy. Patients at low risk do not require antiviral prophylaxis and can be monitored.</w:t>
      </w:r>
    </w:p>
    <w:p w14:paraId="18DDDE42" w14:textId="77777777" w:rsidR="008C6A13" w:rsidRPr="008C6A13" w:rsidRDefault="008C6A13" w:rsidP="008C6A13">
      <w:pPr>
        <w:shd w:val="clear" w:color="auto" w:fill="FFFFFF"/>
        <w:spacing w:after="0" w:line="240" w:lineRule="auto"/>
        <w:rPr>
          <w:rFonts w:ascii="Open Sans" w:eastAsia="Times New Roman" w:hAnsi="Open Sans" w:cs="Open Sans"/>
          <w:color w:val="181D23"/>
          <w:kern w:val="0"/>
          <w14:ligatures w14:val="none"/>
        </w:rPr>
      </w:pPr>
      <w:r w:rsidRPr="008C6A13">
        <w:rPr>
          <w:rFonts w:ascii="Open Sans" w:eastAsia="Times New Roman" w:hAnsi="Open Sans" w:cs="Open Sans"/>
          <w:color w:val="181D23"/>
          <w:kern w:val="0"/>
          <w14:ligatures w14:val="none"/>
        </w:rPr>
        <w:t>Clinical Decision Support Tool for Hepatitis B Virus Reactivation</w:t>
      </w:r>
    </w:p>
    <w:p w14:paraId="12A45210" w14:textId="7339D561"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fldChar w:fldCharType="begin"/>
      </w:r>
      <w:r w:rsidRPr="008C6A13">
        <w:rPr>
          <w:rFonts w:ascii="Times New Roman" w:eastAsia="Times New Roman" w:hAnsi="Times New Roman" w:cs="Times New Roman"/>
          <w:color w:val="181D23"/>
          <w:kern w:val="0"/>
          <w14:ligatures w14:val="none"/>
        </w:rPr>
        <w:instrText xml:space="preserve"> INCLUDEPICTURE "https://d2chybfyz5ban.cloudfront.net/hashed_figures/hpfig25001.3261b51f2ebd098fbd4e361b3cd27d0f.jpg" \* MERGEFORMATINET </w:instrText>
      </w:r>
      <w:r w:rsidRPr="008C6A13">
        <w:rPr>
          <w:rFonts w:ascii="Times New Roman" w:eastAsia="Times New Roman" w:hAnsi="Times New Roman" w:cs="Times New Roman"/>
          <w:color w:val="181D23"/>
          <w:kern w:val="0"/>
          <w14:ligatures w14:val="none"/>
        </w:rPr>
        <w:fldChar w:fldCharType="separate"/>
      </w:r>
      <w:r w:rsidRPr="008C6A13">
        <w:rPr>
          <w:rFonts w:ascii="Times New Roman" w:eastAsia="Times New Roman" w:hAnsi="Times New Roman" w:cs="Times New Roman"/>
          <w:noProof/>
          <w:color w:val="181D23"/>
          <w:kern w:val="0"/>
          <w14:ligatures w14:val="none"/>
        </w:rPr>
        <mc:AlternateContent>
          <mc:Choice Requires="wps">
            <w:drawing>
              <wp:inline distT="0" distB="0" distL="0" distR="0" wp14:anchorId="75405FFA" wp14:editId="17DC2310">
                <wp:extent cx="302895" cy="302895"/>
                <wp:effectExtent l="0" t="0" r="0" b="0"/>
                <wp:docPr id="11599061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A38D7" id="Rectangl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8C6A13">
        <w:rPr>
          <w:rFonts w:ascii="Times New Roman" w:eastAsia="Times New Roman" w:hAnsi="Times New Roman" w:cs="Times New Roman"/>
          <w:color w:val="181D23"/>
          <w:kern w:val="0"/>
          <w14:ligatures w14:val="none"/>
        </w:rPr>
        <w:fldChar w:fldCharType="end"/>
      </w:r>
    </w:p>
    <w:p w14:paraId="44ECD93F" w14:textId="77777777" w:rsidR="008C6A13" w:rsidRPr="008C6A13" w:rsidRDefault="008C6A13" w:rsidP="008C6A13">
      <w:pPr>
        <w:shd w:val="clear" w:color="auto" w:fill="FFFFFF"/>
        <w:spacing w:after="0" w:line="360" w:lineRule="atLeast"/>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Glucocorticoids (prednisone or equivalent): low dose, &lt;10 mg; moderate dose, 10–20 mg; high dose, &gt;20 mg.</w:t>
      </w:r>
    </w:p>
    <w:p w14:paraId="4D5730E2" w14:textId="77777777" w:rsidR="008C6A13" w:rsidRPr="008C6A13" w:rsidRDefault="008C6A13" w:rsidP="008C6A13">
      <w:pPr>
        <w:shd w:val="clear" w:color="auto" w:fill="FFFFFF"/>
        <w:spacing w:after="0" w:line="360" w:lineRule="atLeast"/>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lastRenderedPageBreak/>
        <w:t xml:space="preserve">The risk of </w:t>
      </w:r>
      <w:proofErr w:type="spellStart"/>
      <w:r w:rsidRPr="008C6A13">
        <w:rPr>
          <w:rFonts w:ascii="Times New Roman" w:eastAsia="Times New Roman" w:hAnsi="Times New Roman" w:cs="Times New Roman"/>
          <w:color w:val="181D23"/>
          <w:kern w:val="0"/>
          <w14:ligatures w14:val="none"/>
        </w:rPr>
        <w:t>HBVr</w:t>
      </w:r>
      <w:proofErr w:type="spellEnd"/>
      <w:r w:rsidRPr="008C6A13">
        <w:rPr>
          <w:rFonts w:ascii="Times New Roman" w:eastAsia="Times New Roman" w:hAnsi="Times New Roman" w:cs="Times New Roman"/>
          <w:color w:val="181D23"/>
          <w:kern w:val="0"/>
          <w14:ligatures w14:val="none"/>
        </w:rPr>
        <w:t xml:space="preserve"> from exposure to multiple agents can be cumulative. Using anti-</w:t>
      </w:r>
      <w:proofErr w:type="spellStart"/>
      <w:r w:rsidRPr="008C6A13">
        <w:rPr>
          <w:rFonts w:ascii="Times New Roman" w:eastAsia="Times New Roman" w:hAnsi="Times New Roman" w:cs="Times New Roman"/>
          <w:color w:val="181D23"/>
          <w:kern w:val="0"/>
          <w14:ligatures w14:val="none"/>
        </w:rPr>
        <w:t>Hbs</w:t>
      </w:r>
      <w:proofErr w:type="spellEnd"/>
      <w:r w:rsidRPr="008C6A13">
        <w:rPr>
          <w:rFonts w:ascii="Times New Roman" w:eastAsia="Times New Roman" w:hAnsi="Times New Roman" w:cs="Times New Roman"/>
          <w:color w:val="181D23"/>
          <w:kern w:val="0"/>
          <w14:ligatures w14:val="none"/>
        </w:rPr>
        <w:t xml:space="preserve"> status to guide antiviral prophylaxis for all risk groups is not supported by the evidence. Antiviral prophylaxis should be started before the start of risk-imposing therapy and continued for at least 6 months after discontinuation of risk-imposing therapy (at least 12 months for B cell-depleting agents). The risk for HBV reactivation refers to the duration of the risk-imposing state or up to 1 year, unless otherwise noted; longer-term risk has higher uncertainty. If the risk-imposing state changes, reassess the risk categorization.</w:t>
      </w:r>
    </w:p>
    <w:p w14:paraId="24FB36A1" w14:textId="77777777" w:rsidR="008C6A13" w:rsidRPr="008C6A13" w:rsidRDefault="008C6A13" w:rsidP="008C6A13">
      <w:pPr>
        <w:numPr>
          <w:ilvl w:val="0"/>
          <w:numId w:val="5"/>
        </w:num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DAA = direct acting antiviral agent(s); HCV = hepatitis C virus; IL-6 = interleukin-6; JAK = Janus kinase; TACE = transcatheter arterial chemoembolization; TKI = tyrosine kinase inhibitor; TNF = tumor necrosis factor.</w:t>
      </w:r>
    </w:p>
    <w:p w14:paraId="546B80E0" w14:textId="77777777" w:rsidR="008C6A13" w:rsidRPr="008C6A13" w:rsidRDefault="008C6A13" w:rsidP="008C6A13">
      <w:pPr>
        <w:numPr>
          <w:ilvl w:val="0"/>
          <w:numId w:val="5"/>
        </w:numPr>
        <w:pBdr>
          <w:top w:val="dotted" w:sz="6" w:space="0" w:color="CCCCCC"/>
        </w:pBd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*Lower certainty in the evidence for this classification.</w:t>
      </w:r>
    </w:p>
    <w:p w14:paraId="3B3BE8AB" w14:textId="77777777"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 xml:space="preserve">Reproduced from Ali FS, Nguyen MH, Hernaez R, et al. AGA clinical practice guideline on the prevention and treatment of hepatitis B virus reactivation in at-risk individuals. Gastroenterology. </w:t>
      </w:r>
      <w:proofErr w:type="gramStart"/>
      <w:r w:rsidRPr="008C6A13">
        <w:rPr>
          <w:rFonts w:ascii="Times New Roman" w:eastAsia="Times New Roman" w:hAnsi="Times New Roman" w:cs="Times New Roman"/>
          <w:color w:val="181D23"/>
          <w:kern w:val="0"/>
          <w14:ligatures w14:val="none"/>
        </w:rPr>
        <w:t>2025;168:267</w:t>
      </w:r>
      <w:proofErr w:type="gramEnd"/>
      <w:r w:rsidRPr="008C6A13">
        <w:rPr>
          <w:rFonts w:ascii="Times New Roman" w:eastAsia="Times New Roman" w:hAnsi="Times New Roman" w:cs="Times New Roman"/>
          <w:color w:val="181D23"/>
          <w:kern w:val="0"/>
          <w14:ligatures w14:val="none"/>
        </w:rPr>
        <w:t>-284. </w:t>
      </w:r>
      <w:hyperlink r:id="rId14" w:tgtFrame="_blank" w:history="1">
        <w:r w:rsidRPr="008C6A13">
          <w:rPr>
            <w:rFonts w:ascii="inherit" w:eastAsia="Times New Roman" w:hAnsi="inherit" w:cs="Times New Roman"/>
            <w:color w:val="0063BE"/>
            <w:kern w:val="0"/>
            <w:u w:val="single"/>
            <w:bdr w:val="none" w:sz="0" w:space="0" w:color="auto" w:frame="1"/>
            <w14:ligatures w14:val="none"/>
          </w:rPr>
          <w:t>PMID: 39863345</w:t>
        </w:r>
      </w:hyperlink>
      <w:r w:rsidRPr="008C6A13">
        <w:rPr>
          <w:rFonts w:ascii="Times New Roman" w:eastAsia="Times New Roman" w:hAnsi="Times New Roman" w:cs="Times New Roman"/>
          <w:color w:val="181D23"/>
          <w:kern w:val="0"/>
          <w14:ligatures w14:val="none"/>
        </w:rPr>
        <w:t> </w:t>
      </w:r>
      <w:proofErr w:type="gramStart"/>
      <w:r w:rsidRPr="008C6A13">
        <w:rPr>
          <w:rFonts w:ascii="Times New Roman" w:eastAsia="Times New Roman" w:hAnsi="Times New Roman" w:cs="Times New Roman"/>
          <w:color w:val="181D23"/>
          <w:kern w:val="0"/>
          <w14:ligatures w14:val="none"/>
        </w:rPr>
        <w:t>doi:10.1053/j.gastro</w:t>
      </w:r>
      <w:proofErr w:type="gramEnd"/>
      <w:r w:rsidRPr="008C6A13">
        <w:rPr>
          <w:rFonts w:ascii="Times New Roman" w:eastAsia="Times New Roman" w:hAnsi="Times New Roman" w:cs="Times New Roman"/>
          <w:color w:val="181D23"/>
          <w:kern w:val="0"/>
          <w14:ligatures w14:val="none"/>
        </w:rPr>
        <w:t>.2024.11.008. ©2025, with permission from the AGA Institute.</w:t>
      </w:r>
    </w:p>
    <w:p w14:paraId="0459B30E" w14:textId="77777777" w:rsidR="008C6A13" w:rsidRPr="008C6A13" w:rsidRDefault="008C6A13" w:rsidP="008C6A13">
      <w:pPr>
        <w:shd w:val="clear" w:color="auto" w:fill="FFFFFF"/>
        <w:spacing w:after="0" w:line="240" w:lineRule="auto"/>
        <w:rPr>
          <w:rFonts w:ascii="Times New Roman" w:eastAsia="Times New Roman" w:hAnsi="Times New Roman" w:cs="Times New Roman"/>
          <w:color w:val="181D23"/>
          <w:kern w:val="0"/>
          <w14:ligatures w14:val="none"/>
        </w:rPr>
      </w:pPr>
      <w:r w:rsidRPr="008C6A13">
        <w:rPr>
          <w:rFonts w:ascii="Times New Roman" w:eastAsia="Times New Roman" w:hAnsi="Times New Roman" w:cs="Times New Roman"/>
          <w:color w:val="181D23"/>
          <w:kern w:val="0"/>
          <w14:ligatures w14:val="none"/>
        </w:rPr>
        <w:t>Expand</w:t>
      </w:r>
    </w:p>
    <w:p w14:paraId="0036C5C7"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Approximately 40% of deaths in HBV-infected persons older than age 40 years are related to hepatocellular carcinoma or decompensated cirrhosis (see </w:t>
      </w:r>
      <w:hyperlink r:id="rId15" w:history="1">
        <w:r w:rsidRPr="008C6A13">
          <w:rPr>
            <w:rFonts w:ascii="inherit" w:eastAsia="Times New Roman" w:hAnsi="inherit" w:cs="Times New Roman"/>
            <w:color w:val="0063BE"/>
            <w:kern w:val="0"/>
            <w:u w:val="single"/>
            <w:bdr w:val="none" w:sz="0" w:space="0" w:color="auto" w:frame="1"/>
            <w14:ligatures w14:val="none"/>
          </w:rPr>
          <w:t>Table: Risk Factors for Cirrhosis or HCC in Chronic HBV Infection</w:t>
        </w:r>
      </w:hyperlink>
      <w:r w:rsidRPr="008C6A13">
        <w:rPr>
          <w:rFonts w:ascii="Times New Roman" w:eastAsia="Times New Roman" w:hAnsi="Times New Roman" w:cs="Times New Roman"/>
          <w:kern w:val="0"/>
          <w14:ligatures w14:val="none"/>
        </w:rPr>
        <w:t>). Refer to </w:t>
      </w:r>
      <w:hyperlink r:id="rId16" w:history="1">
        <w:r w:rsidRPr="008C6A13">
          <w:rPr>
            <w:rFonts w:ascii="inherit" w:eastAsia="Times New Roman" w:hAnsi="inherit" w:cs="Times New Roman"/>
            <w:color w:val="0063BE"/>
            <w:kern w:val="0"/>
            <w:u w:val="single"/>
            <w:bdr w:val="none" w:sz="0" w:space="0" w:color="auto" w:frame="1"/>
            <w14:ligatures w14:val="none"/>
          </w:rPr>
          <w:t>Hepatocellular Carcinoma in Hepatology and Biliary Tract Disease</w:t>
        </w:r>
      </w:hyperlink>
      <w:r w:rsidRPr="008C6A13">
        <w:rPr>
          <w:rFonts w:ascii="Times New Roman" w:eastAsia="Times New Roman" w:hAnsi="Times New Roman" w:cs="Times New Roman"/>
          <w:kern w:val="0"/>
          <w14:ligatures w14:val="none"/>
        </w:rPr>
        <w:t> for recommendations on hepatocellular carcinoma screening and surveillance.</w:t>
      </w:r>
    </w:p>
    <w:p w14:paraId="504E24C8" w14:textId="77777777" w:rsidR="008C6A13" w:rsidRPr="008C6A13" w:rsidRDefault="008C6A13" w:rsidP="008C6A13">
      <w:pPr>
        <w:shd w:val="clear" w:color="auto" w:fill="FFFFFF"/>
        <w:spacing w:after="0" w:line="240" w:lineRule="auto"/>
        <w:rPr>
          <w:rFonts w:ascii="Open Sans" w:eastAsia="Times New Roman" w:hAnsi="Open Sans" w:cs="Open Sans"/>
          <w:color w:val="181D23"/>
          <w:kern w:val="0"/>
          <w14:ligatures w14:val="none"/>
        </w:rPr>
      </w:pPr>
      <w:r w:rsidRPr="008C6A13">
        <w:rPr>
          <w:rFonts w:ascii="Open Sans" w:eastAsia="Times New Roman" w:hAnsi="Open Sans" w:cs="Open Sans"/>
          <w:color w:val="181D23"/>
          <w:kern w:val="0"/>
          <w14:ligatures w14:val="none"/>
        </w:rPr>
        <w:t xml:space="preserve">Risk Factors for Cirrhosis or Hepatocellular Carcinoma in Patients </w:t>
      </w:r>
      <w:proofErr w:type="gramStart"/>
      <w:r w:rsidRPr="008C6A13">
        <w:rPr>
          <w:rFonts w:ascii="Open Sans" w:eastAsia="Times New Roman" w:hAnsi="Open Sans" w:cs="Open Sans"/>
          <w:color w:val="181D23"/>
          <w:kern w:val="0"/>
          <w14:ligatures w14:val="none"/>
        </w:rPr>
        <w:t>With</w:t>
      </w:r>
      <w:proofErr w:type="gramEnd"/>
      <w:r w:rsidRPr="008C6A13">
        <w:rPr>
          <w:rFonts w:ascii="Open Sans" w:eastAsia="Times New Roman" w:hAnsi="Open Sans" w:cs="Open Sans"/>
          <w:color w:val="181D23"/>
          <w:kern w:val="0"/>
          <w14:ligatures w14:val="none"/>
        </w:rPr>
        <w:t xml:space="preserve"> Chronic Hepatitis B Virus Infection</w:t>
      </w:r>
    </w:p>
    <w:tbl>
      <w:tblPr>
        <w:tblW w:w="12255" w:type="dxa"/>
        <w:tblBorders>
          <w:top w:val="single" w:sz="12" w:space="0" w:color="6C757D"/>
        </w:tblBorders>
        <w:tblCellMar>
          <w:top w:w="15" w:type="dxa"/>
          <w:left w:w="15" w:type="dxa"/>
          <w:bottom w:w="15" w:type="dxa"/>
          <w:right w:w="15" w:type="dxa"/>
        </w:tblCellMar>
        <w:tblLook w:val="04A0" w:firstRow="1" w:lastRow="0" w:firstColumn="1" w:lastColumn="0" w:noHBand="0" w:noVBand="1"/>
      </w:tblPr>
      <w:tblGrid>
        <w:gridCol w:w="12255"/>
      </w:tblGrid>
      <w:tr w:rsidR="008C6A13" w:rsidRPr="008C6A13" w14:paraId="6D5E467D" w14:textId="77777777">
        <w:tc>
          <w:tcPr>
            <w:tcW w:w="0" w:type="auto"/>
            <w:tcBorders>
              <w:top w:val="single" w:sz="6" w:space="0" w:color="ADB5BD"/>
              <w:left w:val="nil"/>
              <w:bottom w:val="single" w:sz="6" w:space="0" w:color="ADB5BD"/>
              <w:right w:val="nil"/>
            </w:tcBorders>
            <w:hideMark/>
          </w:tcPr>
          <w:p w14:paraId="60E5DD0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Age &gt;40 years</w:t>
            </w:r>
          </w:p>
        </w:tc>
      </w:tr>
      <w:tr w:rsidR="008C6A13" w:rsidRPr="008C6A13" w14:paraId="5AAAE59D" w14:textId="77777777">
        <w:tc>
          <w:tcPr>
            <w:tcW w:w="0" w:type="auto"/>
            <w:tcBorders>
              <w:top w:val="single" w:sz="6" w:space="0" w:color="ADB5BD"/>
              <w:left w:val="nil"/>
              <w:bottom w:val="single" w:sz="6" w:space="0" w:color="ADB5BD"/>
              <w:right w:val="nil"/>
            </w:tcBorders>
            <w:hideMark/>
          </w:tcPr>
          <w:p w14:paraId="54C31289"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Hepatitis B virus DNA level &gt;2000 IU/mL</w:t>
            </w:r>
          </w:p>
        </w:tc>
      </w:tr>
      <w:tr w:rsidR="008C6A13" w:rsidRPr="008C6A13" w14:paraId="155C9F1C" w14:textId="77777777">
        <w:tc>
          <w:tcPr>
            <w:tcW w:w="0" w:type="auto"/>
            <w:tcBorders>
              <w:top w:val="single" w:sz="6" w:space="0" w:color="ADB5BD"/>
              <w:left w:val="nil"/>
              <w:bottom w:val="single" w:sz="6" w:space="0" w:color="ADB5BD"/>
              <w:right w:val="nil"/>
            </w:tcBorders>
            <w:hideMark/>
          </w:tcPr>
          <w:p w14:paraId="69379BB0"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Elevated alanine aminotransferase level</w:t>
            </w:r>
          </w:p>
        </w:tc>
      </w:tr>
      <w:tr w:rsidR="008C6A13" w:rsidRPr="008C6A13" w14:paraId="39E71F8A" w14:textId="77777777">
        <w:tc>
          <w:tcPr>
            <w:tcW w:w="0" w:type="auto"/>
            <w:tcBorders>
              <w:top w:val="single" w:sz="6" w:space="0" w:color="ADB5BD"/>
              <w:left w:val="nil"/>
              <w:bottom w:val="single" w:sz="6" w:space="0" w:color="ADB5BD"/>
              <w:right w:val="nil"/>
            </w:tcBorders>
            <w:hideMark/>
          </w:tcPr>
          <w:p w14:paraId="1D50A56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Genotype C infection</w:t>
            </w:r>
          </w:p>
        </w:tc>
      </w:tr>
      <w:tr w:rsidR="008C6A13" w:rsidRPr="008C6A13" w14:paraId="2782BE20" w14:textId="77777777">
        <w:tc>
          <w:tcPr>
            <w:tcW w:w="0" w:type="auto"/>
            <w:tcBorders>
              <w:top w:val="single" w:sz="6" w:space="0" w:color="ADB5BD"/>
              <w:left w:val="nil"/>
              <w:bottom w:val="single" w:sz="6" w:space="0" w:color="ADB5BD"/>
              <w:right w:val="nil"/>
            </w:tcBorders>
            <w:hideMark/>
          </w:tcPr>
          <w:p w14:paraId="72B1BBE9"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Heavy alcohol use</w:t>
            </w:r>
          </w:p>
        </w:tc>
      </w:tr>
      <w:tr w:rsidR="008C6A13" w:rsidRPr="008C6A13" w14:paraId="5A8BA194" w14:textId="77777777">
        <w:tc>
          <w:tcPr>
            <w:tcW w:w="0" w:type="auto"/>
            <w:tcBorders>
              <w:top w:val="single" w:sz="6" w:space="0" w:color="ADB5BD"/>
              <w:left w:val="nil"/>
              <w:bottom w:val="single" w:sz="6" w:space="0" w:color="ADB5BD"/>
              <w:right w:val="nil"/>
            </w:tcBorders>
            <w:hideMark/>
          </w:tcPr>
          <w:p w14:paraId="5DC49B6E"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Hepatitis B e antigen–negative immune-active phase</w:t>
            </w:r>
          </w:p>
        </w:tc>
      </w:tr>
      <w:tr w:rsidR="008C6A13" w:rsidRPr="008C6A13" w14:paraId="76438188" w14:textId="77777777">
        <w:tc>
          <w:tcPr>
            <w:tcW w:w="0" w:type="auto"/>
            <w:tcBorders>
              <w:top w:val="single" w:sz="6" w:space="0" w:color="ADB5BD"/>
              <w:left w:val="nil"/>
              <w:bottom w:val="single" w:sz="6" w:space="0" w:color="ADB5BD"/>
              <w:right w:val="nil"/>
            </w:tcBorders>
            <w:hideMark/>
          </w:tcPr>
          <w:p w14:paraId="39C283B5"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HIV infection</w:t>
            </w:r>
          </w:p>
        </w:tc>
      </w:tr>
      <w:tr w:rsidR="008C6A13" w:rsidRPr="008C6A13" w14:paraId="56C02845" w14:textId="77777777">
        <w:tc>
          <w:tcPr>
            <w:tcW w:w="0" w:type="auto"/>
            <w:tcBorders>
              <w:top w:val="single" w:sz="6" w:space="0" w:color="ADB5BD"/>
              <w:left w:val="nil"/>
              <w:bottom w:val="single" w:sz="6" w:space="0" w:color="ADB5BD"/>
              <w:right w:val="nil"/>
            </w:tcBorders>
            <w:hideMark/>
          </w:tcPr>
          <w:p w14:paraId="16CD22E3" w14:textId="77777777" w:rsidR="008C6A13" w:rsidRPr="008C6A13" w:rsidRDefault="008C6A13" w:rsidP="008C6A13">
            <w:pPr>
              <w:spacing w:after="0" w:line="240" w:lineRule="auto"/>
              <w:rPr>
                <w:rFonts w:ascii="Times New Roman" w:eastAsia="Times New Roman" w:hAnsi="Times New Roman" w:cs="Times New Roman"/>
                <w:color w:val="15171A"/>
                <w:kern w:val="0"/>
                <w14:ligatures w14:val="none"/>
              </w:rPr>
            </w:pPr>
            <w:r w:rsidRPr="008C6A13">
              <w:rPr>
                <w:rFonts w:ascii="Times New Roman" w:eastAsia="Times New Roman" w:hAnsi="Times New Roman" w:cs="Times New Roman"/>
                <w:color w:val="15171A"/>
                <w:kern w:val="0"/>
                <w14:ligatures w14:val="none"/>
              </w:rPr>
              <w:t>Hepatitis C virus or hepatitis D virus coinfection</w:t>
            </w:r>
          </w:p>
        </w:tc>
      </w:tr>
    </w:tbl>
    <w:p w14:paraId="24D5B5AF" w14:textId="77777777" w:rsidR="008C6A13" w:rsidRPr="008C6A13" w:rsidRDefault="008C6A13" w:rsidP="008C6A13">
      <w:pPr>
        <w:spacing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Rare extrahepatic complications of HBV infection include the following, all of which should prompt oral antiviral therapy:</w:t>
      </w:r>
    </w:p>
    <w:p w14:paraId="35A7D384" w14:textId="77777777" w:rsidR="008C6A13" w:rsidRPr="008C6A13" w:rsidRDefault="008C6A13" w:rsidP="008C6A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Membranous nephropathy</w:t>
      </w:r>
    </w:p>
    <w:p w14:paraId="026A39BC" w14:textId="77777777" w:rsidR="008C6A13" w:rsidRPr="008C6A13" w:rsidRDefault="008C6A13" w:rsidP="008C6A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Membranoproliferative nephropathy</w:t>
      </w:r>
    </w:p>
    <w:p w14:paraId="40359F6A" w14:textId="77777777" w:rsidR="008C6A13" w:rsidRPr="008C6A13" w:rsidRDefault="008C6A13" w:rsidP="008C6A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Polyarteritis nodosa</w:t>
      </w:r>
    </w:p>
    <w:p w14:paraId="64316F3D" w14:textId="77777777" w:rsidR="008C6A13" w:rsidRPr="008C6A13" w:rsidRDefault="008C6A13" w:rsidP="008C6A1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C6A13">
        <w:rPr>
          <w:rFonts w:ascii="Times New Roman" w:eastAsia="Times New Roman" w:hAnsi="Times New Roman" w:cs="Times New Roman"/>
          <w:kern w:val="0"/>
          <w14:ligatures w14:val="none"/>
        </w:rPr>
        <w:t>Cryoglobulinemia</w:t>
      </w:r>
    </w:p>
    <w:p w14:paraId="0D70A17D" w14:textId="77777777" w:rsidR="008C6A13" w:rsidRDefault="008C6A13"/>
    <w:sectPr w:rsidR="008C6A13" w:rsidSect="0010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73DD"/>
    <w:multiLevelType w:val="multilevel"/>
    <w:tmpl w:val="90C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B3F2E"/>
    <w:multiLevelType w:val="multilevel"/>
    <w:tmpl w:val="18B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0627D"/>
    <w:multiLevelType w:val="multilevel"/>
    <w:tmpl w:val="326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C528C"/>
    <w:multiLevelType w:val="multilevel"/>
    <w:tmpl w:val="1F0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94DCD"/>
    <w:multiLevelType w:val="multilevel"/>
    <w:tmpl w:val="EEB6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C50EBF"/>
    <w:multiLevelType w:val="multilevel"/>
    <w:tmpl w:val="D404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295852">
    <w:abstractNumId w:val="4"/>
  </w:num>
  <w:num w:numId="2" w16cid:durableId="1407144013">
    <w:abstractNumId w:val="2"/>
  </w:num>
  <w:num w:numId="3" w16cid:durableId="573901826">
    <w:abstractNumId w:val="5"/>
  </w:num>
  <w:num w:numId="4" w16cid:durableId="453865857">
    <w:abstractNumId w:val="3"/>
  </w:num>
  <w:num w:numId="5" w16cid:durableId="33888092">
    <w:abstractNumId w:val="1"/>
  </w:num>
  <w:num w:numId="6" w16cid:durableId="80832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13"/>
    <w:rsid w:val="00100BA5"/>
    <w:rsid w:val="001E11D3"/>
    <w:rsid w:val="00283D01"/>
    <w:rsid w:val="006C124D"/>
    <w:rsid w:val="008C6A13"/>
    <w:rsid w:val="009241C5"/>
    <w:rsid w:val="009B57D0"/>
    <w:rsid w:val="00AC0FC6"/>
    <w:rsid w:val="00CC4432"/>
    <w:rsid w:val="00FD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33321"/>
  <w15:chartTrackingRefBased/>
  <w15:docId w15:val="{ADF91221-7F50-094F-A112-BE02FB07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C6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C6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A13"/>
    <w:rPr>
      <w:rFonts w:eastAsiaTheme="majorEastAsia" w:cstheme="majorBidi"/>
      <w:color w:val="272727" w:themeColor="text1" w:themeTint="D8"/>
    </w:rPr>
  </w:style>
  <w:style w:type="paragraph" w:styleId="Title">
    <w:name w:val="Title"/>
    <w:basedOn w:val="Normal"/>
    <w:next w:val="Normal"/>
    <w:link w:val="TitleChar"/>
    <w:uiPriority w:val="10"/>
    <w:qFormat/>
    <w:rsid w:val="008C6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A13"/>
    <w:pPr>
      <w:spacing w:before="160"/>
      <w:jc w:val="center"/>
    </w:pPr>
    <w:rPr>
      <w:i/>
      <w:iCs/>
      <w:color w:val="404040" w:themeColor="text1" w:themeTint="BF"/>
    </w:rPr>
  </w:style>
  <w:style w:type="character" w:customStyle="1" w:styleId="QuoteChar">
    <w:name w:val="Quote Char"/>
    <w:basedOn w:val="DefaultParagraphFont"/>
    <w:link w:val="Quote"/>
    <w:uiPriority w:val="29"/>
    <w:rsid w:val="008C6A13"/>
    <w:rPr>
      <w:i/>
      <w:iCs/>
      <w:color w:val="404040" w:themeColor="text1" w:themeTint="BF"/>
    </w:rPr>
  </w:style>
  <w:style w:type="paragraph" w:styleId="ListParagraph">
    <w:name w:val="List Paragraph"/>
    <w:basedOn w:val="Normal"/>
    <w:uiPriority w:val="34"/>
    <w:qFormat/>
    <w:rsid w:val="008C6A13"/>
    <w:pPr>
      <w:ind w:left="720"/>
      <w:contextualSpacing/>
    </w:pPr>
  </w:style>
  <w:style w:type="character" w:styleId="IntenseEmphasis">
    <w:name w:val="Intense Emphasis"/>
    <w:basedOn w:val="DefaultParagraphFont"/>
    <w:uiPriority w:val="21"/>
    <w:qFormat/>
    <w:rsid w:val="008C6A13"/>
    <w:rPr>
      <w:i/>
      <w:iCs/>
      <w:color w:val="0F4761" w:themeColor="accent1" w:themeShade="BF"/>
    </w:rPr>
  </w:style>
  <w:style w:type="paragraph" w:styleId="IntenseQuote">
    <w:name w:val="Intense Quote"/>
    <w:basedOn w:val="Normal"/>
    <w:next w:val="Normal"/>
    <w:link w:val="IntenseQuoteChar"/>
    <w:uiPriority w:val="30"/>
    <w:qFormat/>
    <w:rsid w:val="008C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A13"/>
    <w:rPr>
      <w:i/>
      <w:iCs/>
      <w:color w:val="0F4761" w:themeColor="accent1" w:themeShade="BF"/>
    </w:rPr>
  </w:style>
  <w:style w:type="character" w:styleId="IntenseReference">
    <w:name w:val="Intense Reference"/>
    <w:basedOn w:val="DefaultParagraphFont"/>
    <w:uiPriority w:val="32"/>
    <w:qFormat/>
    <w:rsid w:val="008C6A13"/>
    <w:rPr>
      <w:b/>
      <w:bCs/>
      <w:smallCaps/>
      <w:color w:val="0F4761" w:themeColor="accent1" w:themeShade="BF"/>
      <w:spacing w:val="5"/>
    </w:rPr>
  </w:style>
  <w:style w:type="character" w:styleId="Hyperlink">
    <w:name w:val="Hyperlink"/>
    <w:basedOn w:val="DefaultParagraphFont"/>
    <w:uiPriority w:val="99"/>
    <w:semiHidden/>
    <w:unhideWhenUsed/>
    <w:rsid w:val="008C6A13"/>
    <w:rPr>
      <w:color w:val="0000FF"/>
      <w:u w:val="single"/>
    </w:rPr>
  </w:style>
  <w:style w:type="character" w:customStyle="1" w:styleId="text-nowrap">
    <w:name w:val="text-nowrap"/>
    <w:basedOn w:val="DefaultParagraphFont"/>
    <w:rsid w:val="008C6A13"/>
  </w:style>
  <w:style w:type="paragraph" w:customStyle="1" w:styleId="col">
    <w:name w:val="col"/>
    <w:basedOn w:val="Normal"/>
    <w:rsid w:val="008C6A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ell">
    <w:name w:val="cell"/>
    <w:basedOn w:val="Normal"/>
    <w:rsid w:val="008C6A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otnote">
    <w:name w:val="footnote"/>
    <w:basedOn w:val="Normal"/>
    <w:rsid w:val="008C6A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sap.acponline.org/app/syllabus/hp/tables/hptab24003" TargetMode="External"/><Relationship Id="rId13" Type="http://schemas.openxmlformats.org/officeDocument/2006/relationships/hyperlink" Target="https://mksap.acponline.org/app/syllabus/hp/figures/hpfig25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ksap.acponline.org/app/syllabus/hp/figures/hpfig24007" TargetMode="External"/><Relationship Id="rId12" Type="http://schemas.openxmlformats.org/officeDocument/2006/relationships/hyperlink" Target="https://mksap.acponline.org/app/syllabus/hp/figures/hpfig240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ksap.acponline.org/app/syllabus/hp/hpsec24010/hpsec24010_24010" TargetMode="External"/><Relationship Id="rId1" Type="http://schemas.openxmlformats.org/officeDocument/2006/relationships/numbering" Target="numbering.xml"/><Relationship Id="rId6" Type="http://schemas.openxmlformats.org/officeDocument/2006/relationships/hyperlink" Target="https://mksap.acponline.org/app/syllabus/hp/tables/hptab24002" TargetMode="External"/><Relationship Id="rId11" Type="http://schemas.openxmlformats.org/officeDocument/2006/relationships/hyperlink" Target="https://www.mdcalc.com/fibrosis-4-fib-4-index-liver-fibrosis" TargetMode="External"/><Relationship Id="rId5" Type="http://schemas.openxmlformats.org/officeDocument/2006/relationships/hyperlink" Target="https://mksap.acponline.org/app/syllabus/fc/fcsec24008/fcsec24008_24039" TargetMode="External"/><Relationship Id="rId15" Type="http://schemas.openxmlformats.org/officeDocument/2006/relationships/hyperlink" Target="https://mksap.acponline.org/app/syllabus/hp/tables/hptab24004" TargetMode="External"/><Relationship Id="rId10" Type="http://schemas.openxmlformats.org/officeDocument/2006/relationships/hyperlink" Target="https://mksap.acponline.org/app/syllabus/hp/hpsec24012/hpsec24012_24002" TargetMode="External"/><Relationship Id="rId4" Type="http://schemas.openxmlformats.org/officeDocument/2006/relationships/webSettings" Target="webSettings.xml"/><Relationship Id="rId9" Type="http://schemas.openxmlformats.org/officeDocument/2006/relationships/hyperlink" Target="http://www.ncbi.nlm.nih.gov/pubmed/29405329" TargetMode="External"/><Relationship Id="rId14" Type="http://schemas.openxmlformats.org/officeDocument/2006/relationships/hyperlink" Target="http://www.ncbi.nlm.nih.gov/pubmed/39863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2877</TotalTime>
  <Pages>5</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Harper</dc:creator>
  <cp:keywords/>
  <dc:description/>
  <cp:lastModifiedBy>Lise Harper</cp:lastModifiedBy>
  <cp:revision>1</cp:revision>
  <dcterms:created xsi:type="dcterms:W3CDTF">2025-12-16T15:56:00Z</dcterms:created>
  <dcterms:modified xsi:type="dcterms:W3CDTF">2026-01-08T13:06:00Z</dcterms:modified>
</cp:coreProperties>
</file>