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F0D" w:rsidRDefault="006F583D" w:rsidP="006F583D">
      <w:pPr>
        <w:jc w:val="center"/>
        <w:rPr>
          <w:b/>
          <w:sz w:val="24"/>
          <w:szCs w:val="24"/>
          <w:u w:val="single"/>
        </w:rPr>
      </w:pPr>
      <w:r w:rsidRPr="006F583D">
        <w:rPr>
          <w:b/>
          <w:sz w:val="24"/>
          <w:szCs w:val="24"/>
          <w:u w:val="single"/>
        </w:rPr>
        <w:t>July 17, 2018 AHD Objectives</w:t>
      </w:r>
    </w:p>
    <w:p w:rsidR="006F583D" w:rsidRDefault="006F583D" w:rsidP="006F583D">
      <w:pPr>
        <w:jc w:val="center"/>
        <w:rPr>
          <w:b/>
          <w:sz w:val="24"/>
          <w:szCs w:val="24"/>
          <w:u w:val="single"/>
        </w:rPr>
      </w:pPr>
    </w:p>
    <w:p w:rsidR="006F583D" w:rsidRDefault="006F583D" w:rsidP="006F58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Serious Conversations:</w:t>
      </w:r>
    </w:p>
    <w:p w:rsidR="005912A1" w:rsidRDefault="005912A1" w:rsidP="005912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the patients who are candidates for serious illness conversations. Know the question that you should ask to help discern who is appropriate for this conversation.</w:t>
      </w:r>
    </w:p>
    <w:p w:rsidR="005912A1" w:rsidRDefault="00B228A7" w:rsidP="005912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</w:t>
      </w:r>
      <w:bookmarkStart w:id="0" w:name="_GoBack"/>
      <w:bookmarkEnd w:id="0"/>
      <w:r w:rsidR="005912A1">
        <w:rPr>
          <w:sz w:val="24"/>
          <w:szCs w:val="24"/>
        </w:rPr>
        <w:t>utline the initial SET UP, CONVERSATION GUIDE, and ACTIONs used in the Serious Illness Conversation.</w:t>
      </w:r>
    </w:p>
    <w:p w:rsidR="005912A1" w:rsidRDefault="005912A1" w:rsidP="005912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Pick several responses that you feel are natural to you in the conversation guide, and practice using them with your patients. </w:t>
      </w:r>
    </w:p>
    <w:p w:rsidR="005912A1" w:rsidRPr="005912A1" w:rsidRDefault="005912A1" w:rsidP="005912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the Wish/Worry/Wonder outline and practice using it with your patients.</w:t>
      </w:r>
    </w:p>
    <w:p w:rsidR="006F583D" w:rsidRDefault="006F583D" w:rsidP="006F583D">
      <w:pPr>
        <w:rPr>
          <w:b/>
          <w:sz w:val="24"/>
          <w:szCs w:val="24"/>
          <w:u w:val="single"/>
        </w:rPr>
      </w:pPr>
    </w:p>
    <w:p w:rsidR="006F583D" w:rsidRDefault="006F583D" w:rsidP="006F58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Anticoagulation Jeopardy:</w:t>
      </w:r>
    </w:p>
    <w:p w:rsidR="006F583D" w:rsidRDefault="006F583D" w:rsidP="006F58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Draw the anticoagulation cascade and label the parts of the cascade where heparin, warfarin, </w:t>
      </w:r>
      <w:proofErr w:type="spellStart"/>
      <w:r>
        <w:rPr>
          <w:sz w:val="24"/>
          <w:szCs w:val="24"/>
        </w:rPr>
        <w:t>Xa</w:t>
      </w:r>
      <w:proofErr w:type="spellEnd"/>
      <w:r>
        <w:rPr>
          <w:sz w:val="24"/>
          <w:szCs w:val="24"/>
        </w:rPr>
        <w:t xml:space="preserve"> inhibitors, and direct thrombin inhibitors exert their influence. </w:t>
      </w:r>
      <w:r w:rsidR="00D27DE8">
        <w:rPr>
          <w:sz w:val="24"/>
          <w:szCs w:val="24"/>
        </w:rPr>
        <w:t>(You will learn this in AHD in 30 seconds!)</w:t>
      </w:r>
    </w:p>
    <w:p w:rsidR="00077584" w:rsidRDefault="00077584" w:rsidP="006F58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Warfarin:</w:t>
      </w:r>
    </w:p>
    <w:p w:rsidR="00077584" w:rsidRDefault="00077584" w:rsidP="0007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correct dose to initiate warfarin therapy, and the patient characteristics that would require starting at a lower dose.</w:t>
      </w:r>
    </w:p>
    <w:p w:rsidR="00077584" w:rsidRDefault="00077584" w:rsidP="0007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how to adjust warfarin based on the INR trend.</w:t>
      </w:r>
    </w:p>
    <w:p w:rsidR="006F583D" w:rsidRDefault="00077584" w:rsidP="0007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how to manage a patient with a </w:t>
      </w:r>
      <w:proofErr w:type="spellStart"/>
      <w:r>
        <w:rPr>
          <w:sz w:val="24"/>
          <w:szCs w:val="24"/>
        </w:rPr>
        <w:t>supratherapeutic</w:t>
      </w:r>
      <w:proofErr w:type="spellEnd"/>
      <w:r>
        <w:rPr>
          <w:sz w:val="24"/>
          <w:szCs w:val="24"/>
        </w:rPr>
        <w:t xml:space="preserve"> INR who is bleeding and who is not bleeding according to the Chest Guidelines. </w:t>
      </w:r>
    </w:p>
    <w:p w:rsidR="00077584" w:rsidRDefault="00077584" w:rsidP="0007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indications for bridging anticoagulation therapy (with </w:t>
      </w:r>
      <w:proofErr w:type="spellStart"/>
      <w:r>
        <w:rPr>
          <w:sz w:val="24"/>
          <w:szCs w:val="24"/>
        </w:rPr>
        <w:t>lovenox</w:t>
      </w:r>
      <w:proofErr w:type="spellEnd"/>
      <w:r>
        <w:rPr>
          <w:sz w:val="24"/>
          <w:szCs w:val="24"/>
        </w:rPr>
        <w:t xml:space="preserve"> or heparin) for a patient who is on warfarin for atrial fibrillation, a mechanical heart valve, or venous thromboembolism indications.</w:t>
      </w:r>
    </w:p>
    <w:p w:rsidR="00077584" w:rsidRDefault="00077584" w:rsidP="006F583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Xa</w:t>
      </w:r>
      <w:proofErr w:type="spellEnd"/>
      <w:r>
        <w:rPr>
          <w:sz w:val="24"/>
          <w:szCs w:val="24"/>
        </w:rPr>
        <w:t xml:space="preserve"> Inhibitors:</w:t>
      </w:r>
    </w:p>
    <w:p w:rsidR="00077584" w:rsidRDefault="00077584" w:rsidP="0007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metabolism of rivaroxaban and apixaban and specifically know the indications and contraindications for both</w:t>
      </w:r>
      <w:r w:rsidR="00547E50">
        <w:rPr>
          <w:sz w:val="24"/>
          <w:szCs w:val="24"/>
        </w:rPr>
        <w:t xml:space="preserve"> </w:t>
      </w:r>
      <w:r>
        <w:rPr>
          <w:sz w:val="24"/>
          <w:szCs w:val="24"/>
        </w:rPr>
        <w:t>of these drugs.</w:t>
      </w:r>
    </w:p>
    <w:p w:rsidR="00077584" w:rsidRDefault="00077584" w:rsidP="0007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how to manage a patient who needs a procedure on a </w:t>
      </w:r>
      <w:proofErr w:type="spellStart"/>
      <w:r>
        <w:rPr>
          <w:sz w:val="24"/>
          <w:szCs w:val="24"/>
        </w:rPr>
        <w:t>Xa</w:t>
      </w:r>
      <w:proofErr w:type="spellEnd"/>
      <w:r>
        <w:rPr>
          <w:sz w:val="24"/>
          <w:szCs w:val="24"/>
        </w:rPr>
        <w:t xml:space="preserve"> inhibitor medication.</w:t>
      </w:r>
    </w:p>
    <w:p w:rsidR="00077584" w:rsidRDefault="00077584" w:rsidP="000775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how to manage a patient who is bleeding on a </w:t>
      </w:r>
      <w:proofErr w:type="spellStart"/>
      <w:r>
        <w:rPr>
          <w:sz w:val="24"/>
          <w:szCs w:val="24"/>
        </w:rPr>
        <w:t>Xa</w:t>
      </w:r>
      <w:proofErr w:type="spellEnd"/>
      <w:r>
        <w:rPr>
          <w:sz w:val="24"/>
          <w:szCs w:val="24"/>
        </w:rPr>
        <w:t xml:space="preserve"> inhibitor medication.</w:t>
      </w:r>
    </w:p>
    <w:sectPr w:rsidR="00077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489E"/>
    <w:multiLevelType w:val="hybridMultilevel"/>
    <w:tmpl w:val="4732A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608CC"/>
    <w:multiLevelType w:val="hybridMultilevel"/>
    <w:tmpl w:val="948A0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D41C0"/>
    <w:multiLevelType w:val="hybridMultilevel"/>
    <w:tmpl w:val="0B065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3D"/>
    <w:rsid w:val="00077584"/>
    <w:rsid w:val="00411F0D"/>
    <w:rsid w:val="00547E50"/>
    <w:rsid w:val="005912A1"/>
    <w:rsid w:val="006F583D"/>
    <w:rsid w:val="00B228A7"/>
    <w:rsid w:val="00D2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A837"/>
  <w15:chartTrackingRefBased/>
  <w15:docId w15:val="{5F255BC2-478E-406C-BC95-36D9FF4C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Shinar, Brenda</dc:creator>
  <cp:keywords/>
  <dc:description/>
  <cp:lastModifiedBy>Shinar, Brenda</cp:lastModifiedBy>
  <cp:revision>2</cp:revision>
  <dcterms:created xsi:type="dcterms:W3CDTF">2018-06-15T17:38:00Z</dcterms:created>
  <dcterms:modified xsi:type="dcterms:W3CDTF">2018-06-15T17:38:00Z</dcterms:modified>
</cp:coreProperties>
</file>