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D374" w14:textId="3A4109CE" w:rsidR="002B385A" w:rsidRDefault="002B385A" w:rsidP="002B38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B385A">
        <w:rPr>
          <w:rFonts w:asciiTheme="majorBidi" w:hAnsiTheme="majorBidi" w:cstheme="majorBidi"/>
          <w:b/>
          <w:bCs/>
          <w:sz w:val="24"/>
          <w:szCs w:val="24"/>
        </w:rPr>
        <w:t>Learning Objectives- December 5, 2023</w:t>
      </w:r>
    </w:p>
    <w:p w14:paraId="6C21FFC5" w14:textId="77777777" w:rsidR="002B385A" w:rsidRPr="002B385A" w:rsidRDefault="002B385A" w:rsidP="002B385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3BCABDB" w14:textId="47198DFA" w:rsidR="002B385A" w:rsidRPr="002B385A" w:rsidRDefault="002B385A" w:rsidP="002B385A">
      <w:pPr>
        <w:rPr>
          <w:rFonts w:asciiTheme="majorBidi" w:hAnsiTheme="majorBidi" w:cstheme="majorBidi"/>
          <w:sz w:val="24"/>
          <w:szCs w:val="24"/>
          <w:u w:val="single"/>
        </w:rPr>
      </w:pPr>
      <w:r w:rsidRPr="002B385A">
        <w:rPr>
          <w:rFonts w:asciiTheme="majorBidi" w:hAnsiTheme="majorBidi" w:cstheme="majorBidi"/>
          <w:sz w:val="24"/>
          <w:szCs w:val="24"/>
          <w:u w:val="single"/>
        </w:rPr>
        <w:t xml:space="preserve">Dementia </w:t>
      </w:r>
      <w:r w:rsidRPr="002B385A">
        <w:rPr>
          <w:rFonts w:asciiTheme="majorBidi" w:hAnsiTheme="majorBidi" w:cstheme="majorBidi"/>
          <w:sz w:val="24"/>
          <w:szCs w:val="24"/>
          <w:u w:val="single"/>
        </w:rPr>
        <w:t>Lecture</w:t>
      </w:r>
    </w:p>
    <w:p w14:paraId="7819A109" w14:textId="77777777" w:rsidR="002B385A" w:rsidRPr="00BE6179" w:rsidRDefault="002B385A" w:rsidP="002B385A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E6179">
        <w:rPr>
          <w:rFonts w:asciiTheme="majorBidi" w:hAnsiTheme="majorBidi" w:cstheme="majorBidi"/>
          <w:sz w:val="24"/>
          <w:szCs w:val="24"/>
        </w:rPr>
        <w:t>Describe the diagnostic criteria for mild cognitive impairment and distinguish it from dementia.</w:t>
      </w:r>
    </w:p>
    <w:p w14:paraId="0A43CF9D" w14:textId="77777777" w:rsidR="002B385A" w:rsidRPr="00BE6179" w:rsidRDefault="002B385A" w:rsidP="002B385A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E6179">
        <w:rPr>
          <w:rFonts w:asciiTheme="majorBidi" w:hAnsiTheme="majorBidi" w:cstheme="majorBidi"/>
          <w:sz w:val="24"/>
          <w:szCs w:val="24"/>
        </w:rPr>
        <w:t>Describe the sensitivity and specificity of the mini-mental status exam (MMSE) and the Montreal cognitive assessment for mild cognitive impairment and dementia.</w:t>
      </w:r>
    </w:p>
    <w:p w14:paraId="66807F7E" w14:textId="77777777" w:rsidR="002B385A" w:rsidRPr="00BE6179" w:rsidRDefault="002B385A" w:rsidP="002B385A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E6179">
        <w:rPr>
          <w:rFonts w:asciiTheme="majorBidi" w:hAnsiTheme="majorBidi" w:cstheme="majorBidi"/>
          <w:sz w:val="24"/>
          <w:szCs w:val="24"/>
        </w:rPr>
        <w:t>Describe the appropriate work up (laboratories and imaging tests) for a patient with dementia to look for reversible causes.</w:t>
      </w:r>
    </w:p>
    <w:p w14:paraId="6AA7ED39" w14:textId="77777777" w:rsidR="002B385A" w:rsidRPr="00BE6179" w:rsidRDefault="002B385A" w:rsidP="002B385A">
      <w:pPr>
        <w:pStyle w:val="Normal1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E6179">
        <w:rPr>
          <w:rFonts w:asciiTheme="majorBidi" w:hAnsiTheme="majorBidi" w:cstheme="majorBidi"/>
          <w:sz w:val="24"/>
          <w:szCs w:val="24"/>
        </w:rPr>
        <w:t xml:space="preserve">Compare and contrast in table format the clinical presentation, pathophysiology, and treatment options for the following types of dementia: </w:t>
      </w:r>
      <w:proofErr w:type="gramStart"/>
      <w:r w:rsidRPr="00BE6179">
        <w:rPr>
          <w:rFonts w:asciiTheme="majorBidi" w:hAnsiTheme="majorBidi" w:cstheme="majorBidi"/>
          <w:sz w:val="24"/>
          <w:szCs w:val="24"/>
        </w:rPr>
        <w:t>Alzheimer’s ,</w:t>
      </w:r>
      <w:proofErr w:type="gramEnd"/>
      <w:r w:rsidRPr="00BE6179">
        <w:rPr>
          <w:rFonts w:asciiTheme="majorBidi" w:hAnsiTheme="majorBidi" w:cstheme="majorBidi"/>
          <w:sz w:val="24"/>
          <w:szCs w:val="24"/>
        </w:rPr>
        <w:t xml:space="preserve"> Lewy body, Frontotemporal, Normal Pressure Hydrocephalus, and Vascular dementia.</w:t>
      </w:r>
    </w:p>
    <w:p w14:paraId="4744857D" w14:textId="77777777" w:rsidR="002B385A" w:rsidRDefault="002B385A" w:rsidP="002B385A">
      <w:pPr>
        <w:rPr>
          <w:lang w:val="en"/>
        </w:rPr>
      </w:pPr>
    </w:p>
    <w:p w14:paraId="2DBAFF02" w14:textId="57170E55" w:rsidR="002B385A" w:rsidRDefault="002B385A" w:rsidP="002B385A">
      <w:pPr>
        <w:tabs>
          <w:tab w:val="left" w:pos="4935"/>
        </w:tabs>
        <w:rPr>
          <w:rFonts w:asciiTheme="majorBidi" w:hAnsiTheme="majorBidi" w:cstheme="majorBidi"/>
          <w:lang w:val="en"/>
        </w:rPr>
      </w:pPr>
      <w:r w:rsidRPr="00BE6179">
        <w:rPr>
          <w:rFonts w:asciiTheme="majorBidi" w:hAnsiTheme="majorBidi" w:cstheme="majorBidi"/>
          <w:lang w:val="en"/>
        </w:rPr>
        <w:t>Reading: Annals of Internal Medicine Dementia</w:t>
      </w:r>
      <w:r>
        <w:rPr>
          <w:rFonts w:asciiTheme="majorBidi" w:hAnsiTheme="majorBidi" w:cstheme="majorBidi"/>
          <w:lang w:val="en"/>
        </w:rPr>
        <w:tab/>
      </w:r>
    </w:p>
    <w:p w14:paraId="2A8DC12D" w14:textId="77777777" w:rsidR="002B385A" w:rsidRDefault="002B385A" w:rsidP="002B385A">
      <w:pPr>
        <w:tabs>
          <w:tab w:val="left" w:pos="4935"/>
        </w:tabs>
        <w:rPr>
          <w:rFonts w:asciiTheme="majorBidi" w:hAnsiTheme="majorBidi" w:cstheme="majorBidi"/>
          <w:lang w:val="en"/>
        </w:rPr>
      </w:pPr>
    </w:p>
    <w:p w14:paraId="107EAC7E" w14:textId="09E8B2F4" w:rsidR="002B385A" w:rsidRPr="002B385A" w:rsidRDefault="002B385A" w:rsidP="002B385A">
      <w:pPr>
        <w:rPr>
          <w:rFonts w:asciiTheme="majorBidi" w:hAnsiTheme="majorBidi" w:cstheme="majorBidi"/>
          <w:sz w:val="24"/>
          <w:szCs w:val="24"/>
          <w:u w:val="single"/>
        </w:rPr>
      </w:pPr>
      <w:r w:rsidRPr="002B385A">
        <w:rPr>
          <w:rFonts w:asciiTheme="majorBidi" w:hAnsiTheme="majorBidi" w:cstheme="majorBidi"/>
          <w:sz w:val="24"/>
          <w:szCs w:val="24"/>
          <w:u w:val="single"/>
        </w:rPr>
        <w:t xml:space="preserve">Headaches </w:t>
      </w:r>
      <w:r w:rsidRPr="002B385A">
        <w:rPr>
          <w:rFonts w:asciiTheme="majorBidi" w:hAnsiTheme="majorBidi" w:cstheme="majorBidi"/>
          <w:sz w:val="24"/>
          <w:szCs w:val="24"/>
          <w:u w:val="single"/>
        </w:rPr>
        <w:t>Lecture</w:t>
      </w:r>
    </w:p>
    <w:p w14:paraId="66AC1811" w14:textId="77777777" w:rsidR="002B385A" w:rsidRPr="00DB325E" w:rsidRDefault="002B385A" w:rsidP="002B385A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B325E">
        <w:rPr>
          <w:rFonts w:asciiTheme="majorBidi" w:hAnsiTheme="majorBidi" w:cstheme="majorBidi"/>
          <w:sz w:val="24"/>
          <w:szCs w:val="24"/>
        </w:rPr>
        <w:t>List the types of primary and secondary headaches, and know what symptoms point to secondary headaches.</w:t>
      </w:r>
    </w:p>
    <w:p w14:paraId="73242A26" w14:textId="77777777" w:rsidR="002B385A" w:rsidRPr="00DB325E" w:rsidRDefault="002B385A" w:rsidP="002B385A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B325E">
        <w:rPr>
          <w:rFonts w:asciiTheme="majorBidi" w:hAnsiTheme="majorBidi" w:cstheme="majorBidi"/>
          <w:sz w:val="24"/>
          <w:szCs w:val="24"/>
        </w:rPr>
        <w:t>Describe criteria for diagnosing migraine headaches and how to use the POUND mnemonic.</w:t>
      </w:r>
    </w:p>
    <w:p w14:paraId="4D71FC2C" w14:textId="77777777" w:rsidR="002B385A" w:rsidRPr="00DB325E" w:rsidRDefault="002B385A" w:rsidP="002B385A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B325E">
        <w:rPr>
          <w:rFonts w:asciiTheme="majorBidi" w:hAnsiTheme="majorBidi" w:cstheme="majorBidi"/>
          <w:sz w:val="24"/>
          <w:szCs w:val="24"/>
        </w:rPr>
        <w:t>Define a “thunderclap headache.” What percentage of these headaches are associated with subarachnoid hemorrhage? Describe the appropriate steps and algorithm evaluation for subarachnoid hemorrhage.</w:t>
      </w:r>
    </w:p>
    <w:p w14:paraId="28E4144E" w14:textId="77777777" w:rsidR="002B385A" w:rsidRPr="00DB325E" w:rsidRDefault="002B385A" w:rsidP="002B385A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B325E">
        <w:rPr>
          <w:rFonts w:asciiTheme="majorBidi" w:hAnsiTheme="majorBidi" w:cstheme="majorBidi"/>
          <w:sz w:val="24"/>
          <w:szCs w:val="24"/>
        </w:rPr>
        <w:t>Compare and contrast (in table format) the following syndromes including the clinical presentation, pathophysiology, diagnostic tests, and treatment options of the following: Idiopathic Intracranial Hypertension (Pseudotumor Cerebri), Intracranial hypotension, trigeminal neuralgia, and rebound headache (medication overuse headache).</w:t>
      </w:r>
    </w:p>
    <w:p w14:paraId="50EBB287" w14:textId="77777777" w:rsidR="002B385A" w:rsidRPr="00DB325E" w:rsidRDefault="002B385A" w:rsidP="002B385A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B325E">
        <w:rPr>
          <w:rFonts w:asciiTheme="majorBidi" w:hAnsiTheme="majorBidi" w:cstheme="majorBidi"/>
          <w:sz w:val="24"/>
          <w:szCs w:val="24"/>
        </w:rPr>
        <w:t>Describe medication options for abortive therapy for a migraine headache and refractory migraine.</w:t>
      </w:r>
    </w:p>
    <w:p w14:paraId="7D2CB5BD" w14:textId="77777777" w:rsidR="002B385A" w:rsidRPr="00DB325E" w:rsidRDefault="002B385A" w:rsidP="002B385A">
      <w:pPr>
        <w:pStyle w:val="Normal1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DB325E">
        <w:rPr>
          <w:rFonts w:asciiTheme="majorBidi" w:hAnsiTheme="majorBidi" w:cstheme="majorBidi"/>
          <w:sz w:val="24"/>
          <w:szCs w:val="24"/>
        </w:rPr>
        <w:t>Know when to pursue migraine prevention treatment, how successful migraine prevention therapy is, and which drugs are recommended for migraine prevention.</w:t>
      </w:r>
    </w:p>
    <w:p w14:paraId="3745058D" w14:textId="77777777" w:rsidR="002B385A" w:rsidRDefault="002B385A" w:rsidP="002B385A">
      <w:pPr>
        <w:rPr>
          <w:rFonts w:asciiTheme="majorBidi" w:hAnsiTheme="majorBidi" w:cstheme="majorBidi"/>
          <w:sz w:val="24"/>
          <w:szCs w:val="24"/>
          <w:lang w:val="en"/>
        </w:rPr>
      </w:pPr>
    </w:p>
    <w:p w14:paraId="6DF2CFA8" w14:textId="77777777" w:rsidR="002B385A" w:rsidRPr="00DB325E" w:rsidRDefault="002B385A" w:rsidP="002B385A">
      <w:pPr>
        <w:rPr>
          <w:rFonts w:asciiTheme="majorBidi" w:hAnsiTheme="majorBidi" w:cstheme="majorBidi"/>
          <w:sz w:val="24"/>
          <w:szCs w:val="24"/>
          <w:lang w:val="en"/>
        </w:rPr>
      </w:pPr>
      <w:r>
        <w:rPr>
          <w:rFonts w:asciiTheme="majorBidi" w:hAnsiTheme="majorBidi" w:cstheme="majorBidi"/>
          <w:sz w:val="24"/>
          <w:szCs w:val="24"/>
          <w:lang w:val="en"/>
        </w:rPr>
        <w:t>Reading: AAFP Approach to Headaches</w:t>
      </w:r>
    </w:p>
    <w:p w14:paraId="17722192" w14:textId="3F25F84F" w:rsidR="002B385A" w:rsidRDefault="002B385A" w:rsidP="002B385A">
      <w:pPr>
        <w:tabs>
          <w:tab w:val="left" w:pos="4935"/>
        </w:tabs>
        <w:rPr>
          <w:rFonts w:asciiTheme="majorBidi" w:hAnsiTheme="majorBidi" w:cstheme="majorBidi"/>
          <w:lang w:val="en"/>
        </w:rPr>
      </w:pPr>
    </w:p>
    <w:p w14:paraId="1F36EDC4" w14:textId="194C3160" w:rsidR="002B385A" w:rsidRDefault="002B385A" w:rsidP="002B385A">
      <w:pPr>
        <w:tabs>
          <w:tab w:val="left" w:pos="4935"/>
        </w:tabs>
        <w:rPr>
          <w:rFonts w:asciiTheme="majorBidi" w:hAnsiTheme="majorBidi" w:cstheme="majorBidi"/>
          <w:lang w:val="en"/>
        </w:rPr>
      </w:pPr>
    </w:p>
    <w:p w14:paraId="1B0EFA0E" w14:textId="77777777" w:rsidR="002B385A" w:rsidRPr="00BE6179" w:rsidRDefault="002B385A" w:rsidP="002B385A">
      <w:pPr>
        <w:tabs>
          <w:tab w:val="left" w:pos="4935"/>
        </w:tabs>
        <w:rPr>
          <w:rFonts w:asciiTheme="majorBidi" w:hAnsiTheme="majorBidi" w:cstheme="majorBidi"/>
          <w:lang w:val="en"/>
        </w:rPr>
      </w:pPr>
    </w:p>
    <w:p w14:paraId="6F60731E" w14:textId="119E7913" w:rsidR="002B385A" w:rsidRPr="002B385A" w:rsidRDefault="002B385A" w:rsidP="002B385A">
      <w:pPr>
        <w:rPr>
          <w:rFonts w:asciiTheme="majorBidi" w:hAnsiTheme="majorBidi" w:cstheme="majorBidi"/>
          <w:sz w:val="24"/>
          <w:szCs w:val="24"/>
          <w:u w:val="single"/>
        </w:rPr>
      </w:pPr>
      <w:r w:rsidRPr="002B385A">
        <w:rPr>
          <w:rFonts w:asciiTheme="majorBidi" w:hAnsiTheme="majorBidi" w:cstheme="majorBidi"/>
          <w:sz w:val="24"/>
          <w:szCs w:val="24"/>
          <w:u w:val="single"/>
        </w:rPr>
        <w:lastRenderedPageBreak/>
        <w:t xml:space="preserve">Neuromuscular Weakness </w:t>
      </w:r>
      <w:r w:rsidRPr="002B385A">
        <w:rPr>
          <w:rFonts w:asciiTheme="majorBidi" w:hAnsiTheme="majorBidi" w:cstheme="majorBidi"/>
          <w:sz w:val="24"/>
          <w:szCs w:val="24"/>
          <w:u w:val="single"/>
        </w:rPr>
        <w:t>Lecture</w:t>
      </w:r>
    </w:p>
    <w:p w14:paraId="622D3085" w14:textId="77777777" w:rsidR="002B385A" w:rsidRPr="007A1EB3" w:rsidRDefault="002B385A" w:rsidP="002B385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A1EB3">
        <w:rPr>
          <w:rFonts w:asciiTheme="majorBidi" w:hAnsiTheme="majorBidi" w:cstheme="majorBidi"/>
          <w:sz w:val="24"/>
          <w:szCs w:val="24"/>
        </w:rPr>
        <w:t>Make a table describing history and exam findings consistent with weakness with the following etiologies: Spinal cord, peripheral nerve, neuromuscular junction, muscle.</w:t>
      </w:r>
    </w:p>
    <w:p w14:paraId="7AAB4A6F" w14:textId="77777777" w:rsidR="002B385A" w:rsidRPr="007A1EB3" w:rsidRDefault="002B385A" w:rsidP="002B385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A1EB3">
        <w:rPr>
          <w:rFonts w:asciiTheme="majorBidi" w:hAnsiTheme="majorBidi" w:cstheme="majorBidi"/>
          <w:sz w:val="24"/>
          <w:szCs w:val="24"/>
        </w:rPr>
        <w:t>Know indications for nerve conduction studies and electromyography.</w:t>
      </w:r>
    </w:p>
    <w:p w14:paraId="185388A6" w14:textId="77777777" w:rsidR="002B385A" w:rsidRPr="007A1EB3" w:rsidRDefault="002B385A" w:rsidP="002B385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A1EB3">
        <w:rPr>
          <w:rFonts w:asciiTheme="majorBidi" w:hAnsiTheme="majorBidi" w:cstheme="majorBidi"/>
          <w:sz w:val="24"/>
          <w:szCs w:val="24"/>
        </w:rPr>
        <w:t>Describe the appropriate treatment options for diabetic peripheral polyneuropathy.</w:t>
      </w:r>
    </w:p>
    <w:p w14:paraId="57AE19C0" w14:textId="77777777" w:rsidR="002B385A" w:rsidRDefault="002B385A" w:rsidP="002B385A">
      <w:pPr>
        <w:rPr>
          <w:lang w:val="en"/>
        </w:rPr>
      </w:pPr>
    </w:p>
    <w:p w14:paraId="4D1EC599" w14:textId="77777777" w:rsidR="002B385A" w:rsidRPr="007A1EB3" w:rsidRDefault="002B385A" w:rsidP="002B385A">
      <w:pPr>
        <w:rPr>
          <w:rFonts w:asciiTheme="majorBidi" w:hAnsiTheme="majorBidi" w:cstheme="majorBidi"/>
          <w:lang w:val="en"/>
        </w:rPr>
      </w:pPr>
      <w:r w:rsidRPr="007A1EB3">
        <w:rPr>
          <w:rFonts w:asciiTheme="majorBidi" w:hAnsiTheme="majorBidi" w:cstheme="majorBidi"/>
          <w:lang w:val="en"/>
        </w:rPr>
        <w:t>Readings:</w:t>
      </w:r>
    </w:p>
    <w:p w14:paraId="308F592C" w14:textId="77777777" w:rsidR="002B385A" w:rsidRPr="007A1EB3" w:rsidRDefault="002B385A" w:rsidP="002B385A">
      <w:pPr>
        <w:rPr>
          <w:rFonts w:asciiTheme="majorBidi" w:hAnsiTheme="majorBidi" w:cstheme="majorBidi"/>
          <w:lang w:val="en"/>
        </w:rPr>
      </w:pPr>
      <w:r w:rsidRPr="007A1EB3">
        <w:rPr>
          <w:rFonts w:asciiTheme="majorBidi" w:hAnsiTheme="majorBidi" w:cstheme="majorBidi"/>
          <w:sz w:val="20"/>
          <w:szCs w:val="20"/>
        </w:rPr>
        <w:t xml:space="preserve">AJM Approach to myopathy and AAFP </w:t>
      </w:r>
      <w:r>
        <w:rPr>
          <w:rFonts w:asciiTheme="majorBidi" w:hAnsiTheme="majorBidi" w:cstheme="majorBidi"/>
          <w:sz w:val="20"/>
          <w:szCs w:val="20"/>
        </w:rPr>
        <w:t>Differential Diagnosis for Weakness</w:t>
      </w:r>
    </w:p>
    <w:p w14:paraId="06F60CA8" w14:textId="77777777" w:rsidR="004F27C0" w:rsidRPr="002B385A" w:rsidRDefault="004F27C0">
      <w:pPr>
        <w:rPr>
          <w:lang w:val="en"/>
        </w:rPr>
      </w:pPr>
    </w:p>
    <w:sectPr w:rsidR="004F27C0" w:rsidRPr="002B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41022"/>
    <w:multiLevelType w:val="hybridMultilevel"/>
    <w:tmpl w:val="3544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B043C"/>
    <w:multiLevelType w:val="hybridMultilevel"/>
    <w:tmpl w:val="31C8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44EE"/>
    <w:multiLevelType w:val="hybridMultilevel"/>
    <w:tmpl w:val="4B6AB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244757">
    <w:abstractNumId w:val="2"/>
  </w:num>
  <w:num w:numId="2" w16cid:durableId="2132547530">
    <w:abstractNumId w:val="0"/>
  </w:num>
  <w:num w:numId="3" w16cid:durableId="1623457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5A"/>
    <w:rsid w:val="002B385A"/>
    <w:rsid w:val="004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0E7F"/>
  <w15:chartTrackingRefBased/>
  <w15:docId w15:val="{EB02B0F0-3786-4034-B58E-60BD4D9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5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385A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styleId="ListParagraph">
    <w:name w:val="List Paragraph"/>
    <w:basedOn w:val="Normal"/>
    <w:uiPriority w:val="34"/>
    <w:qFormat/>
    <w:rsid w:val="002B3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Rayyan</dc:creator>
  <cp:keywords/>
  <dc:description/>
  <cp:lastModifiedBy>Esa Rayyan</cp:lastModifiedBy>
  <cp:revision>1</cp:revision>
  <dcterms:created xsi:type="dcterms:W3CDTF">2023-12-03T16:28:00Z</dcterms:created>
  <dcterms:modified xsi:type="dcterms:W3CDTF">2023-12-03T16:33:00Z</dcterms:modified>
</cp:coreProperties>
</file>