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6F98" w14:textId="3B04F321" w:rsidR="00047796" w:rsidRDefault="00AE3B14" w:rsidP="002455FA">
      <w:pPr>
        <w:jc w:val="center"/>
        <w:rPr>
          <w:b/>
          <w:bCs/>
          <w:u w:val="single"/>
        </w:rPr>
      </w:pPr>
      <w:r w:rsidRPr="00AE3B14">
        <w:rPr>
          <w:b/>
          <w:bCs/>
          <w:u w:val="single"/>
        </w:rPr>
        <w:t>September 2, 2025</w:t>
      </w:r>
      <w:r>
        <w:rPr>
          <w:b/>
          <w:bCs/>
          <w:u w:val="single"/>
        </w:rPr>
        <w:t xml:space="preserve">, </w:t>
      </w:r>
      <w:r w:rsidRPr="00AE3B14">
        <w:rPr>
          <w:b/>
          <w:bCs/>
          <w:u w:val="single"/>
        </w:rPr>
        <w:t>AHD Learning Objectives:</w:t>
      </w:r>
    </w:p>
    <w:p w14:paraId="2B12692D" w14:textId="1D440196" w:rsidR="00AE3B14" w:rsidRPr="002455FA" w:rsidRDefault="00AE3B14" w:rsidP="00AE3B14">
      <w:pPr>
        <w:spacing w:after="100" w:afterAutospacing="1" w:line="240" w:lineRule="auto"/>
        <w:rPr>
          <w:rFonts w:asciiTheme="majorHAnsi" w:hAnsiTheme="majorHAnsi"/>
          <w:b/>
          <w:bCs/>
          <w:u w:val="single"/>
        </w:rPr>
      </w:pPr>
      <w:r w:rsidRPr="002455FA">
        <w:rPr>
          <w:rFonts w:asciiTheme="majorHAnsi" w:hAnsiTheme="majorHAnsi"/>
          <w:b/>
          <w:bCs/>
          <w:u w:val="single"/>
        </w:rPr>
        <w:t>The Bleeding Patient:</w:t>
      </w:r>
    </w:p>
    <w:p w14:paraId="0610B798" w14:textId="58F684FE" w:rsidR="00AE3B14" w:rsidRPr="002455FA" w:rsidRDefault="00AE3B14" w:rsidP="00AE3B14">
      <w:pPr>
        <w:pStyle w:val="ListParagraph"/>
        <w:numPr>
          <w:ilvl w:val="0"/>
          <w:numId w:val="3"/>
        </w:numPr>
        <w:spacing w:after="100" w:afterAutospacing="1" w:line="240" w:lineRule="auto"/>
        <w:ind w:left="360"/>
        <w:rPr>
          <w:rFonts w:asciiTheme="majorHAnsi" w:hAnsiTheme="majorHAnsi"/>
        </w:rPr>
      </w:pPr>
      <w:r w:rsidRPr="002455FA">
        <w:rPr>
          <w:rFonts w:asciiTheme="majorHAnsi" w:hAnsiTheme="majorHAnsi"/>
        </w:rPr>
        <w:t>Describe the pertinent questions to ask on a past medical and family history to identify significant bleeding disorders.</w:t>
      </w:r>
    </w:p>
    <w:p w14:paraId="5DA42B5A" w14:textId="1EB1F34B" w:rsidR="00AE3B14" w:rsidRDefault="00AE3B14" w:rsidP="00AE3B14">
      <w:pPr>
        <w:pStyle w:val="ListParagraph"/>
        <w:numPr>
          <w:ilvl w:val="0"/>
          <w:numId w:val="3"/>
        </w:numPr>
        <w:spacing w:after="100" w:afterAutospacing="1" w:line="240" w:lineRule="auto"/>
        <w:ind w:left="360"/>
        <w:rPr>
          <w:rFonts w:asciiTheme="majorHAnsi" w:hAnsiTheme="majorHAnsi"/>
        </w:rPr>
      </w:pPr>
      <w:r w:rsidRPr="002455FA">
        <w:rPr>
          <w:rFonts w:asciiTheme="majorHAnsi" w:hAnsiTheme="majorHAnsi"/>
        </w:rPr>
        <w:t>Differentiate between primary hemostasis and secondary hemostasis problems based on the clinical bleeding presentation.</w:t>
      </w:r>
    </w:p>
    <w:p w14:paraId="11583BD3" w14:textId="728E503F" w:rsidR="00C45DB6" w:rsidRPr="002455FA" w:rsidRDefault="00C45DB6" w:rsidP="00AE3B14">
      <w:pPr>
        <w:pStyle w:val="ListParagraph"/>
        <w:numPr>
          <w:ilvl w:val="0"/>
          <w:numId w:val="3"/>
        </w:numPr>
        <w:spacing w:after="100" w:afterAutospacing="1" w:line="24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Describe the International Society on Thrombosis and </w:t>
      </w:r>
      <w:proofErr w:type="spellStart"/>
      <w:r>
        <w:rPr>
          <w:rFonts w:asciiTheme="majorHAnsi" w:hAnsiTheme="majorHAnsi"/>
        </w:rPr>
        <w:t>Haemostasis</w:t>
      </w:r>
      <w:proofErr w:type="spellEnd"/>
      <w:r>
        <w:rPr>
          <w:rFonts w:asciiTheme="majorHAnsi" w:hAnsiTheme="majorHAnsi"/>
        </w:rPr>
        <w:t xml:space="preserve"> Bleeding Assessment Tool and how to use it. </w:t>
      </w:r>
    </w:p>
    <w:p w14:paraId="494012DE" w14:textId="309E303D" w:rsidR="00AE3B14" w:rsidRPr="002455FA" w:rsidRDefault="00AE3B14" w:rsidP="00AE3B14">
      <w:pPr>
        <w:pStyle w:val="ListParagraph"/>
        <w:numPr>
          <w:ilvl w:val="0"/>
          <w:numId w:val="3"/>
        </w:numPr>
        <w:spacing w:after="100" w:afterAutospacing="1" w:line="240" w:lineRule="auto"/>
        <w:ind w:left="360"/>
        <w:rPr>
          <w:rFonts w:asciiTheme="majorHAnsi" w:hAnsiTheme="majorHAnsi"/>
        </w:rPr>
      </w:pPr>
      <w:r w:rsidRPr="002455FA">
        <w:rPr>
          <w:rFonts w:asciiTheme="majorHAnsi" w:hAnsiTheme="majorHAnsi"/>
        </w:rPr>
        <w:t>Describe the initial laboratory tests to order to discern a cause of pathological bleeding.</w:t>
      </w:r>
    </w:p>
    <w:p w14:paraId="00AD4C35" w14:textId="6C8ED14A" w:rsidR="00AE3B14" w:rsidRPr="002455FA" w:rsidRDefault="00AE3B14" w:rsidP="00AE3B14">
      <w:pPr>
        <w:pStyle w:val="ListParagraph"/>
        <w:numPr>
          <w:ilvl w:val="0"/>
          <w:numId w:val="3"/>
        </w:numPr>
        <w:spacing w:after="100" w:afterAutospacing="1" w:line="240" w:lineRule="auto"/>
        <w:ind w:left="360"/>
        <w:rPr>
          <w:rFonts w:asciiTheme="majorHAnsi" w:hAnsiTheme="majorHAnsi"/>
        </w:rPr>
      </w:pPr>
      <w:r w:rsidRPr="002455FA">
        <w:rPr>
          <w:rFonts w:asciiTheme="majorHAnsi" w:hAnsiTheme="majorHAnsi"/>
        </w:rPr>
        <w:t>Understand how to interpret mixing studies to understand the cause of bleeding associated with a coagulation factor issue.</w:t>
      </w:r>
    </w:p>
    <w:p w14:paraId="1F8A4A1C" w14:textId="17124E8A" w:rsidR="00AE3B14" w:rsidRPr="002455FA" w:rsidRDefault="00AE3B14" w:rsidP="00AE3B14">
      <w:pPr>
        <w:pStyle w:val="ListParagraph"/>
        <w:numPr>
          <w:ilvl w:val="0"/>
          <w:numId w:val="3"/>
        </w:numPr>
        <w:spacing w:after="100" w:afterAutospacing="1" w:line="240" w:lineRule="auto"/>
        <w:ind w:left="360"/>
        <w:rPr>
          <w:rFonts w:asciiTheme="majorHAnsi" w:hAnsiTheme="majorHAnsi"/>
        </w:rPr>
      </w:pPr>
      <w:r w:rsidRPr="002455FA">
        <w:rPr>
          <w:rFonts w:asciiTheme="majorHAnsi" w:hAnsiTheme="majorHAnsi"/>
        </w:rPr>
        <w:t xml:space="preserve">Understand how to diagnose and manage von Willebrand’s disease. </w:t>
      </w:r>
    </w:p>
    <w:p w14:paraId="76419580" w14:textId="77777777" w:rsidR="00AE3B14" w:rsidRPr="002455FA" w:rsidRDefault="00AE3B14" w:rsidP="00AE3B14">
      <w:pPr>
        <w:spacing w:after="100" w:afterAutospacing="1" w:line="240" w:lineRule="auto"/>
        <w:rPr>
          <w:rFonts w:asciiTheme="majorHAnsi" w:hAnsiTheme="majorHAnsi" w:cstheme="majorHAnsi"/>
          <w:b/>
          <w:bCs/>
          <w:u w:val="single"/>
        </w:rPr>
      </w:pPr>
      <w:r w:rsidRPr="002455FA">
        <w:rPr>
          <w:rFonts w:asciiTheme="majorHAnsi" w:hAnsiTheme="majorHAnsi" w:cstheme="majorHAnsi"/>
          <w:b/>
          <w:bCs/>
          <w:u w:val="single"/>
        </w:rPr>
        <w:t>Acute leukemia:</w:t>
      </w:r>
    </w:p>
    <w:p w14:paraId="4D1156BF" w14:textId="1B2C762A" w:rsidR="00AE3B14" w:rsidRPr="002455FA" w:rsidRDefault="00AE3B14" w:rsidP="00AE3B14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Theme="majorHAnsi" w:eastAsia="Times New Roman" w:hAnsiTheme="majorHAnsi" w:cstheme="majorHAnsi"/>
        </w:rPr>
      </w:pPr>
      <w:r w:rsidRPr="002455FA">
        <w:rPr>
          <w:rFonts w:asciiTheme="majorHAnsi" w:eastAsia="Times New Roman" w:hAnsiTheme="majorHAnsi" w:cstheme="majorHAnsi"/>
        </w:rPr>
        <w:t>List several risk factors for the development of acute myeloid leukemi</w:t>
      </w:r>
      <w:r w:rsidR="00016675">
        <w:rPr>
          <w:rFonts w:asciiTheme="majorHAnsi" w:eastAsia="Times New Roman" w:hAnsiTheme="majorHAnsi" w:cstheme="majorHAnsi"/>
        </w:rPr>
        <w:t xml:space="preserve">a and specifically risk factors for </w:t>
      </w:r>
      <w:r w:rsidR="00037092">
        <w:rPr>
          <w:rFonts w:asciiTheme="majorHAnsi" w:eastAsia="Times New Roman" w:hAnsiTheme="majorHAnsi" w:cstheme="majorHAnsi"/>
        </w:rPr>
        <w:t>high-risk</w:t>
      </w:r>
      <w:r w:rsidR="00016675">
        <w:rPr>
          <w:rFonts w:asciiTheme="majorHAnsi" w:eastAsia="Times New Roman" w:hAnsiTheme="majorHAnsi" w:cstheme="majorHAnsi"/>
        </w:rPr>
        <w:t xml:space="preserve"> AML.</w:t>
      </w:r>
    </w:p>
    <w:p w14:paraId="2D39B1FB" w14:textId="77777777" w:rsidR="00AE3B14" w:rsidRPr="002455FA" w:rsidRDefault="00AE3B14" w:rsidP="00AE3B14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Theme="majorHAnsi" w:eastAsia="Times New Roman" w:hAnsiTheme="majorHAnsi" w:cstheme="majorHAnsi"/>
        </w:rPr>
      </w:pPr>
      <w:r w:rsidRPr="002455FA">
        <w:rPr>
          <w:rFonts w:asciiTheme="majorHAnsi" w:eastAsia="Times New Roman" w:hAnsiTheme="majorHAnsi" w:cstheme="majorHAnsi"/>
        </w:rPr>
        <w:t xml:space="preserve">Describe the clinical syndrome (including lab values) that should make an internist suspect    AML, and specifically acute promyelocytic leukemia (APL) </w:t>
      </w:r>
    </w:p>
    <w:p w14:paraId="196DC6CC" w14:textId="77777777" w:rsidR="00AE3B14" w:rsidRPr="002455FA" w:rsidRDefault="00AE3B14" w:rsidP="00AE3B14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Theme="majorHAnsi" w:eastAsia="Times New Roman" w:hAnsiTheme="majorHAnsi" w:cstheme="majorHAnsi"/>
        </w:rPr>
      </w:pPr>
      <w:r w:rsidRPr="002455FA">
        <w:rPr>
          <w:rFonts w:asciiTheme="majorHAnsi" w:eastAsia="Times New Roman" w:hAnsiTheme="majorHAnsi" w:cstheme="majorHAnsi"/>
        </w:rPr>
        <w:t>Describe the tests that should be ordered UP FRONT by the hospitalist when a diagnosis of acute myeloid leukemia is suspected.</w:t>
      </w:r>
    </w:p>
    <w:p w14:paraId="5B957228" w14:textId="1E520AC3" w:rsidR="00016675" w:rsidRPr="00016675" w:rsidRDefault="00016675" w:rsidP="00016675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Explain</w:t>
      </w:r>
      <w:r w:rsidR="00AE3B14" w:rsidRPr="002455FA">
        <w:rPr>
          <w:rFonts w:asciiTheme="majorHAnsi" w:eastAsia="Times New Roman" w:hAnsiTheme="majorHAnsi" w:cstheme="majorHAnsi"/>
        </w:rPr>
        <w:t xml:space="preserve"> the therapy that can be given by the hospitalist when a diagnosis of APL is suspected.</w:t>
      </w:r>
    </w:p>
    <w:p w14:paraId="2959B45A" w14:textId="1C90D356" w:rsidR="00016675" w:rsidRPr="00016675" w:rsidRDefault="00016675" w:rsidP="00016675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Describe the anticipated duration of severe neutropenia and the indications/contraindications for growth factor stimulants. </w:t>
      </w:r>
    </w:p>
    <w:p w14:paraId="2563318B" w14:textId="77777777" w:rsidR="00AE3B14" w:rsidRPr="002455FA" w:rsidRDefault="00AE3B14" w:rsidP="00AE3B14">
      <w:pPr>
        <w:pStyle w:val="ListParagraph"/>
        <w:spacing w:line="240" w:lineRule="auto"/>
        <w:ind w:left="0"/>
        <w:jc w:val="both"/>
        <w:rPr>
          <w:rFonts w:asciiTheme="majorHAnsi" w:eastAsia="Times New Roman" w:hAnsiTheme="majorHAnsi" w:cstheme="majorHAnsi"/>
        </w:rPr>
      </w:pPr>
    </w:p>
    <w:p w14:paraId="69705738" w14:textId="1ED9892C" w:rsidR="00AE3B14" w:rsidRPr="002455FA" w:rsidRDefault="00AE3B14" w:rsidP="00AE3B14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u w:val="single"/>
        </w:rPr>
      </w:pPr>
      <w:r w:rsidRPr="002455FA">
        <w:rPr>
          <w:rFonts w:asciiTheme="majorHAnsi" w:eastAsia="Times New Roman" w:hAnsiTheme="majorHAnsi" w:cstheme="majorHAnsi"/>
          <w:b/>
          <w:bCs/>
          <w:u w:val="single"/>
        </w:rPr>
        <w:t>Myeloproliferative Neoplasms</w:t>
      </w:r>
    </w:p>
    <w:p w14:paraId="6E538974" w14:textId="7523AD25" w:rsidR="00AE3B14" w:rsidRPr="002455FA" w:rsidRDefault="00AE3B14" w:rsidP="00AE3B14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Theme="majorHAnsi" w:eastAsia="Times New Roman" w:hAnsiTheme="majorHAnsi" w:cstheme="majorHAnsi"/>
        </w:rPr>
      </w:pPr>
      <w:r w:rsidRPr="002455FA">
        <w:rPr>
          <w:rFonts w:asciiTheme="majorHAnsi" w:eastAsia="Times New Roman" w:hAnsiTheme="majorHAnsi" w:cstheme="majorHAnsi"/>
        </w:rPr>
        <w:t>Define myeloproliferative neoplasms (MPNs). List the four</w:t>
      </w:r>
      <w:r w:rsidR="002455FA" w:rsidRPr="002455FA">
        <w:rPr>
          <w:rFonts w:asciiTheme="majorHAnsi" w:eastAsia="Times New Roman" w:hAnsiTheme="majorHAnsi" w:cstheme="majorHAnsi"/>
        </w:rPr>
        <w:t xml:space="preserve"> most common</w:t>
      </w:r>
      <w:r w:rsidRPr="002455FA">
        <w:rPr>
          <w:rFonts w:asciiTheme="majorHAnsi" w:eastAsia="Times New Roman" w:hAnsiTheme="majorHAnsi" w:cstheme="majorHAnsi"/>
        </w:rPr>
        <w:t xml:space="preserve"> MPNs and the gene mutations associated with each. </w:t>
      </w:r>
    </w:p>
    <w:p w14:paraId="15CD29F8" w14:textId="77777777" w:rsidR="00AE3B14" w:rsidRPr="002455FA" w:rsidRDefault="00AE3B14" w:rsidP="00AE3B14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Theme="majorHAnsi" w:eastAsia="Times New Roman" w:hAnsiTheme="majorHAnsi" w:cstheme="majorHAnsi"/>
        </w:rPr>
      </w:pPr>
      <w:r w:rsidRPr="002455FA">
        <w:rPr>
          <w:rFonts w:asciiTheme="majorHAnsi" w:eastAsia="Times New Roman" w:hAnsiTheme="majorHAnsi" w:cstheme="majorHAnsi"/>
        </w:rPr>
        <w:t xml:space="preserve">Make a table listing clinical syndrome, lab values, diagnosis, and treatment based on risk stratification of each of the following: chronic myelogenous leukemia, polycythemia vera, essential thrombocytosis, and primary myelofibrosis. </w:t>
      </w:r>
    </w:p>
    <w:p w14:paraId="38E3BC2E" w14:textId="77777777" w:rsidR="00AE3B14" w:rsidRPr="00AE3B14" w:rsidRDefault="00AE3B14" w:rsidP="00AE3B14">
      <w:pPr>
        <w:spacing w:line="240" w:lineRule="auto"/>
        <w:ind w:left="-360"/>
        <w:jc w:val="both"/>
        <w:rPr>
          <w:rFonts w:asciiTheme="majorHAnsi" w:eastAsia="Times New Roman" w:hAnsiTheme="majorHAnsi" w:cstheme="majorHAnsi"/>
          <w:b/>
          <w:bCs/>
          <w:u w:val="single"/>
        </w:rPr>
      </w:pPr>
    </w:p>
    <w:p w14:paraId="3E6ED40C" w14:textId="77777777" w:rsidR="00AE3B14" w:rsidRDefault="00AE3B14" w:rsidP="00AE3B14">
      <w:pPr>
        <w:rPr>
          <w:b/>
          <w:bCs/>
          <w:u w:val="single"/>
        </w:rPr>
      </w:pPr>
    </w:p>
    <w:p w14:paraId="3365A99C" w14:textId="77777777" w:rsidR="00AE3B14" w:rsidRPr="00AE3B14" w:rsidRDefault="00AE3B14" w:rsidP="00AE3B14">
      <w:pPr>
        <w:jc w:val="center"/>
        <w:rPr>
          <w:b/>
          <w:bCs/>
          <w:u w:val="single"/>
        </w:rPr>
      </w:pPr>
    </w:p>
    <w:sectPr w:rsidR="00AE3B14" w:rsidRPr="00AE3B14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5A8B"/>
    <w:multiLevelType w:val="hybridMultilevel"/>
    <w:tmpl w:val="8C66943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1430AA"/>
    <w:multiLevelType w:val="hybridMultilevel"/>
    <w:tmpl w:val="41445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F93A96"/>
    <w:multiLevelType w:val="hybridMultilevel"/>
    <w:tmpl w:val="DE0A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227098">
    <w:abstractNumId w:val="1"/>
  </w:num>
  <w:num w:numId="2" w16cid:durableId="1965580459">
    <w:abstractNumId w:val="0"/>
  </w:num>
  <w:num w:numId="3" w16cid:durableId="152305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14"/>
    <w:rsid w:val="00016675"/>
    <w:rsid w:val="00037092"/>
    <w:rsid w:val="00047796"/>
    <w:rsid w:val="002455FA"/>
    <w:rsid w:val="002638B9"/>
    <w:rsid w:val="00371DD9"/>
    <w:rsid w:val="003748B3"/>
    <w:rsid w:val="004D48E2"/>
    <w:rsid w:val="008D4061"/>
    <w:rsid w:val="00AE3B14"/>
    <w:rsid w:val="00B6416E"/>
    <w:rsid w:val="00C45DB6"/>
    <w:rsid w:val="00CE7803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09E04"/>
  <w15:chartTrackingRefBased/>
  <w15:docId w15:val="{9C9DBD57-3EE5-6940-B4A7-36330881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2025-08-27T18:38:00Z</dcterms:created>
  <dcterms:modified xsi:type="dcterms:W3CDTF">2025-08-27T18:38:00Z</dcterms:modified>
</cp:coreProperties>
</file>