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1BE59" w14:textId="77777777" w:rsidR="0062013B" w:rsidRDefault="0062013B" w:rsidP="0062013B">
      <w:pPr>
        <w:pStyle w:val="paragraph"/>
        <w:spacing w:before="0" w:beforeAutospacing="0" w:after="0" w:afterAutospacing="0"/>
        <w:ind w:left="360"/>
        <w:jc w:val="center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October 20, 2020 Objectives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7E02457" w14:textId="77777777" w:rsidR="0062013B" w:rsidRDefault="0062013B" w:rsidP="0062013B">
      <w:pPr>
        <w:pStyle w:val="paragraph"/>
        <w:spacing w:before="0" w:beforeAutospacing="0" w:after="0" w:afterAutospacing="0"/>
        <w:ind w:left="360"/>
        <w:jc w:val="center"/>
        <w:textAlignment w:val="baseline"/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2CDEE670" w14:textId="7373D433" w:rsidR="0062013B" w:rsidRDefault="0062013B" w:rsidP="0062013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Adrenal Insufficiency: 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DA08C7B" w14:textId="77777777" w:rsidR="0062013B" w:rsidRDefault="0062013B" w:rsidP="0062013B">
      <w:pPr>
        <w:pStyle w:val="paragraph"/>
        <w:spacing w:before="0" w:beforeAutospacing="0" w:after="0" w:afterAutospacing="0"/>
        <w:textAlignment w:val="baseline"/>
      </w:pPr>
    </w:p>
    <w:p w14:paraId="7E3B1F70" w14:textId="0041EF9D" w:rsidR="0062013B" w:rsidRDefault="0062013B" w:rsidP="0062013B">
      <w:pPr>
        <w:pStyle w:val="paragraph"/>
        <w:numPr>
          <w:ilvl w:val="0"/>
          <w:numId w:val="15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Describe the clinical symptoms, physical exam findings, and laboratory findings that should prompt an internist to suspect adrenal insufficiency.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D321A34" w14:textId="77777777" w:rsidR="0062013B" w:rsidRDefault="0062013B" w:rsidP="0062013B">
      <w:pPr>
        <w:pStyle w:val="paragraph"/>
        <w:numPr>
          <w:ilvl w:val="0"/>
          <w:numId w:val="15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List and describe several genetic disorders, drugs, and disease states that are associated with adrenal insufficiency (at least 3 of each.)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462402F3" w14:textId="77777777" w:rsidR="0062013B" w:rsidRDefault="0062013B" w:rsidP="0062013B">
      <w:pPr>
        <w:pStyle w:val="paragraph"/>
        <w:numPr>
          <w:ilvl w:val="0"/>
          <w:numId w:val="15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Describe the appropriate testing to diagnose adrenal insufficiency in a patient who is stable and a patient who is unstable.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E91F7BF" w14:textId="77777777" w:rsidR="0062013B" w:rsidRDefault="0062013B" w:rsidP="0062013B">
      <w:pPr>
        <w:pStyle w:val="paragraph"/>
        <w:numPr>
          <w:ilvl w:val="0"/>
          <w:numId w:val="15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Describe the appropriate management of patients with primary adrenal insufficiency who are stable, mildly sick, and critically ill.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0DA418F" w14:textId="77777777" w:rsidR="0062013B" w:rsidRDefault="0062013B" w:rsidP="0062013B">
      <w:pPr>
        <w:pStyle w:val="paragraph"/>
        <w:numPr>
          <w:ilvl w:val="0"/>
          <w:numId w:val="15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Know the equivalent doses of prednisone, methylprednisolone, hydrocortisone, and dexamethasone.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00120FCD" w14:textId="77777777" w:rsidR="0062013B" w:rsidRDefault="0062013B" w:rsidP="0062013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sz w:val="18"/>
          <w:szCs w:val="18"/>
        </w:rPr>
        <w:t>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4FF4E0E5" w14:textId="533A3083" w:rsidR="0062013B" w:rsidRDefault="0062013B" w:rsidP="0062013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Adrenal Hyperfunction and nodules: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A63E5A8" w14:textId="77777777" w:rsidR="0062013B" w:rsidRDefault="0062013B" w:rsidP="0062013B">
      <w:pPr>
        <w:pStyle w:val="paragraph"/>
        <w:spacing w:before="0" w:beforeAutospacing="0" w:after="0" w:afterAutospacing="0"/>
        <w:textAlignment w:val="baseline"/>
      </w:pPr>
    </w:p>
    <w:p w14:paraId="00649E98" w14:textId="77777777" w:rsidR="0062013B" w:rsidRDefault="0062013B" w:rsidP="0062013B">
      <w:pPr>
        <w:pStyle w:val="paragraph"/>
        <w:numPr>
          <w:ilvl w:val="0"/>
          <w:numId w:val="16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 Describe the clinical symptoms, exam findings, and lab findings that would prompt an internist to suspect Cushing’s syndrome.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F24CF76" w14:textId="77777777" w:rsidR="0062013B" w:rsidRDefault="0062013B" w:rsidP="0062013B">
      <w:pPr>
        <w:pStyle w:val="paragraph"/>
        <w:numPr>
          <w:ilvl w:val="0"/>
          <w:numId w:val="16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List several associated diseases.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237BC15" w14:textId="77777777" w:rsidR="0062013B" w:rsidRDefault="0062013B" w:rsidP="0062013B">
      <w:pPr>
        <w:pStyle w:val="paragraph"/>
        <w:numPr>
          <w:ilvl w:val="0"/>
          <w:numId w:val="16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Describe the appropriate testing to confirm the diagnosis.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1F374E2B" w14:textId="77777777" w:rsidR="0062013B" w:rsidRDefault="0062013B" w:rsidP="0062013B">
      <w:pPr>
        <w:pStyle w:val="paragraph"/>
        <w:numPr>
          <w:ilvl w:val="0"/>
          <w:numId w:val="16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Describe the two main treatment modalities.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7BE879D" w14:textId="77777777" w:rsidR="0062013B" w:rsidRDefault="0062013B" w:rsidP="0062013B">
      <w:pPr>
        <w:pStyle w:val="paragraph"/>
        <w:numPr>
          <w:ilvl w:val="0"/>
          <w:numId w:val="16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Know the appropriate serological tests to perform on an adrenal nodule, and the indications (if there are any).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3654A28" w14:textId="77777777" w:rsidR="0062013B" w:rsidRDefault="0062013B" w:rsidP="0062013B">
      <w:pPr>
        <w:pStyle w:val="paragraph"/>
        <w:numPr>
          <w:ilvl w:val="0"/>
          <w:numId w:val="16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List the radiologic features that can indicate a nodule is higher or lower risk for malignancy.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FDABC3E" w14:textId="2DF724F4" w:rsidR="0062013B" w:rsidRDefault="0062013B" w:rsidP="0062013B">
      <w:pPr>
        <w:pStyle w:val="paragraph"/>
        <w:spacing w:before="0" w:beforeAutospacing="0" w:after="0" w:afterAutospacing="0"/>
        <w:ind w:left="1440" w:firstLine="100"/>
        <w:textAlignment w:val="baseline"/>
      </w:pPr>
    </w:p>
    <w:p w14:paraId="35747CF4" w14:textId="656E5697" w:rsidR="0062013B" w:rsidRDefault="0062013B" w:rsidP="0062013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Pituitary Diseases: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54FCC2BC" w14:textId="77777777" w:rsidR="0062013B" w:rsidRDefault="0062013B" w:rsidP="0062013B">
      <w:pPr>
        <w:pStyle w:val="paragraph"/>
        <w:spacing w:before="0" w:beforeAutospacing="0" w:after="0" w:afterAutospacing="0"/>
        <w:textAlignment w:val="baseline"/>
      </w:pPr>
    </w:p>
    <w:p w14:paraId="50EA5BCE" w14:textId="77777777" w:rsidR="0062013B" w:rsidRDefault="0062013B" w:rsidP="0062013B">
      <w:pPr>
        <w:pStyle w:val="paragraph"/>
        <w:numPr>
          <w:ilvl w:val="0"/>
          <w:numId w:val="17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List the types of pituitary adenomas (based on the cell type of origin and the type of hormone secreted</w:t>
      </w:r>
      <w:proofErr w:type="gramStart"/>
      <w:r>
        <w:rPr>
          <w:rStyle w:val="normaltextrun"/>
          <w:rFonts w:ascii="Arial" w:hAnsi="Arial" w:cs="Arial"/>
          <w:sz w:val="18"/>
          <w:szCs w:val="18"/>
        </w:rPr>
        <w:t>), and</w:t>
      </w:r>
      <w:proofErr w:type="gramEnd"/>
      <w:r>
        <w:rPr>
          <w:rStyle w:val="normaltextrun"/>
          <w:rFonts w:ascii="Arial" w:hAnsi="Arial" w:cs="Arial"/>
          <w:sz w:val="18"/>
          <w:szCs w:val="18"/>
        </w:rPr>
        <w:t xml:space="preserve"> know their relative frequency from most common to least common. Distinguish between a macroadenoma versus a microadenoma.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49D0CC65" w14:textId="77777777" w:rsidR="0062013B" w:rsidRDefault="0062013B" w:rsidP="0062013B">
      <w:pPr>
        <w:pStyle w:val="paragraph"/>
        <w:numPr>
          <w:ilvl w:val="0"/>
          <w:numId w:val="17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Describe the three possible clinical scenarios that may signal the possibility of a pituitary neoplasm to the astute clinician and how they may present in men versus women.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A3E215F" w14:textId="77777777" w:rsidR="0062013B" w:rsidRDefault="0062013B" w:rsidP="0062013B">
      <w:pPr>
        <w:pStyle w:val="paragraph"/>
        <w:numPr>
          <w:ilvl w:val="0"/>
          <w:numId w:val="17"/>
        </w:numPr>
        <w:spacing w:before="0" w:beforeAutospacing="0" w:after="0" w:afterAutospacing="0"/>
        <w:ind w:left="1440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Describe the appropriate diagnostic work up to evaluate for hormone hypersecretion and hyposecretion. 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F7CFA93" w14:textId="77777777" w:rsidR="0062013B" w:rsidRDefault="0062013B"/>
    <w:sectPr w:rsidR="0062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3070"/>
    <w:multiLevelType w:val="multilevel"/>
    <w:tmpl w:val="7D84A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F4C07"/>
    <w:multiLevelType w:val="multilevel"/>
    <w:tmpl w:val="7D84A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E6112"/>
    <w:multiLevelType w:val="multilevel"/>
    <w:tmpl w:val="7D84A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35A2F"/>
    <w:multiLevelType w:val="multilevel"/>
    <w:tmpl w:val="7D84A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329EA"/>
    <w:multiLevelType w:val="multilevel"/>
    <w:tmpl w:val="7D84A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83539"/>
    <w:multiLevelType w:val="hybridMultilevel"/>
    <w:tmpl w:val="19066F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F272F"/>
    <w:multiLevelType w:val="multilevel"/>
    <w:tmpl w:val="7D84A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B68E5"/>
    <w:multiLevelType w:val="hybridMultilevel"/>
    <w:tmpl w:val="B244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A0443"/>
    <w:multiLevelType w:val="multilevel"/>
    <w:tmpl w:val="7D84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B27C8"/>
    <w:multiLevelType w:val="multilevel"/>
    <w:tmpl w:val="7D84A3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A2C25"/>
    <w:multiLevelType w:val="multilevel"/>
    <w:tmpl w:val="7D84A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E26A8"/>
    <w:multiLevelType w:val="multilevel"/>
    <w:tmpl w:val="7D84A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D430D"/>
    <w:multiLevelType w:val="multilevel"/>
    <w:tmpl w:val="7D84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C82569"/>
    <w:multiLevelType w:val="multilevel"/>
    <w:tmpl w:val="7D84A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BA6B66"/>
    <w:multiLevelType w:val="hybridMultilevel"/>
    <w:tmpl w:val="F9200DCE"/>
    <w:lvl w:ilvl="0" w:tplc="D318F2E8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40604D"/>
    <w:multiLevelType w:val="multilevel"/>
    <w:tmpl w:val="7D84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A2633A"/>
    <w:multiLevelType w:val="multilevel"/>
    <w:tmpl w:val="7D84A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6"/>
  </w:num>
  <w:num w:numId="5">
    <w:abstractNumId w:val="3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15"/>
  </w:num>
  <w:num w:numId="13">
    <w:abstractNumId w:val="0"/>
  </w:num>
  <w:num w:numId="14">
    <w:abstractNumId w:val="4"/>
  </w:num>
  <w:num w:numId="15">
    <w:abstractNumId w:val="14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3B"/>
    <w:rsid w:val="0062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CB36"/>
  <w15:chartTrackingRefBased/>
  <w15:docId w15:val="{623F91F7-04AB-4473-80C0-9828F064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2013B"/>
  </w:style>
  <w:style w:type="character" w:customStyle="1" w:styleId="eop">
    <w:name w:val="eop"/>
    <w:basedOn w:val="DefaultParagraphFont"/>
    <w:rsid w:val="0062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A98BE7A1B3543A12A1EEB2BA90EF1" ma:contentTypeVersion="7" ma:contentTypeDescription="Create a new document." ma:contentTypeScope="" ma:versionID="dd2857a53a4d02522bafa5952eacc596">
  <xsd:schema xmlns:xsd="http://www.w3.org/2001/XMLSchema" xmlns:xs="http://www.w3.org/2001/XMLSchema" xmlns:p="http://schemas.microsoft.com/office/2006/metadata/properties" xmlns:ns3="05e9009d-b5e3-4d76-bf80-78b292be04a8" xmlns:ns4="2240e76c-9127-4e37-b122-c5e616e7a9bc" targetNamespace="http://schemas.microsoft.com/office/2006/metadata/properties" ma:root="true" ma:fieldsID="05dd6767820228ce9a2e15aa81cd8d7a" ns3:_="" ns4:_="">
    <xsd:import namespace="05e9009d-b5e3-4d76-bf80-78b292be04a8"/>
    <xsd:import namespace="2240e76c-9127-4e37-b122-c5e616e7a9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9009d-b5e3-4d76-bf80-78b292be0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0e76c-9127-4e37-b122-c5e616e7a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743CD-4768-456F-A3DF-C4CBC92B2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9009d-b5e3-4d76-bf80-78b292be04a8"/>
    <ds:schemaRef ds:uri="2240e76c-9127-4e37-b122-c5e616e7a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A812C-A4CA-49F0-8939-FDF455F98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A0916-816C-4B54-98AB-932B76FDEB1C}">
  <ds:schemaRefs>
    <ds:schemaRef ds:uri="05e9009d-b5e3-4d76-bf80-78b292be04a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2240e76c-9127-4e37-b122-c5e616e7a9b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archbold</dc:creator>
  <cp:keywords/>
  <dc:description/>
  <cp:lastModifiedBy>dana archbold</cp:lastModifiedBy>
  <cp:revision>2</cp:revision>
  <dcterms:created xsi:type="dcterms:W3CDTF">2020-09-30T20:40:00Z</dcterms:created>
  <dcterms:modified xsi:type="dcterms:W3CDTF">2020-09-30T20:40:00Z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0x010100B12A98BE7A1B3543A12A1EEB2BA90EF1</vt:lpwstr>
  </property>
</Properties>
</file>