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857E8" w14:textId="6667DBAC" w:rsidR="002B0B96" w:rsidRDefault="002B0B96" w:rsidP="002B0B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306C9F">
        <w:rPr>
          <w:rFonts w:ascii="Arial" w:eastAsia="Times New Roman" w:hAnsi="Arial" w:cs="Arial"/>
          <w:color w:val="000000"/>
          <w:sz w:val="20"/>
          <w:szCs w:val="20"/>
          <w:lang w:val="en"/>
        </w:rPr>
        <w:t>January 14</w:t>
      </w:r>
      <w:r w:rsidRPr="002B0B96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"/>
        </w:rPr>
        <w:t>th</w:t>
      </w: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Objectives</w:t>
      </w:r>
    </w:p>
    <w:p w14:paraId="39634966" w14:textId="77777777" w:rsidR="002B0B96" w:rsidRPr="002B0B96" w:rsidRDefault="002B0B96" w:rsidP="002B0B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14:paraId="07896B54" w14:textId="77777777" w:rsidR="002B0B96" w:rsidRPr="00A0564A" w:rsidRDefault="002B0B96" w:rsidP="002B0B96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val="en"/>
        </w:rPr>
      </w:pPr>
      <w:r w:rsidRPr="00306C9F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9:40 - 11:10 – Glomerulonephritis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1 &amp; </w:t>
      </w:r>
      <w:r w:rsidRPr="00306C9F">
        <w:rPr>
          <w:rFonts w:ascii="Arial" w:eastAsia="Times New Roman" w:hAnsi="Arial" w:cs="Arial"/>
          <w:color w:val="000000"/>
          <w:sz w:val="20"/>
          <w:szCs w:val="20"/>
          <w:lang w:val="en"/>
        </w:rPr>
        <w:t>2, Dr. Barney</w:t>
      </w:r>
    </w:p>
    <w:p w14:paraId="3DE72000" w14:textId="77777777" w:rsidR="002B0B96" w:rsidRPr="00F53C81" w:rsidRDefault="002B0B96" w:rsidP="002B0B9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F36CB">
        <w:rPr>
          <w:rFonts w:ascii="Arial" w:eastAsia="Times New Roman" w:hAnsi="Arial" w:cs="Arial"/>
          <w:sz w:val="20"/>
          <w:szCs w:val="20"/>
        </w:rPr>
        <w:t>Define nephrotic syndrome and nephritic syndrome</w:t>
      </w:r>
      <w:r>
        <w:rPr>
          <w:rFonts w:ascii="Arial" w:eastAsia="Times New Roman" w:hAnsi="Arial" w:cs="Arial"/>
          <w:sz w:val="20"/>
          <w:szCs w:val="20"/>
        </w:rPr>
        <w:t>. Describe clinical, laboratory, and urine findings that would suggest each.</w:t>
      </w:r>
    </w:p>
    <w:p w14:paraId="66C37976" w14:textId="77777777" w:rsidR="002B0B96" w:rsidRPr="00EF36CB" w:rsidRDefault="002B0B96" w:rsidP="002B0B9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F36CB">
        <w:rPr>
          <w:rFonts w:ascii="Arial" w:eastAsia="Times New Roman" w:hAnsi="Arial" w:cs="Arial"/>
          <w:sz w:val="20"/>
          <w:szCs w:val="20"/>
        </w:rPr>
        <w:t>Describe the clinical presentation of rapidly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F36CB">
        <w:rPr>
          <w:rFonts w:ascii="Arial" w:eastAsia="Times New Roman" w:hAnsi="Arial" w:cs="Arial"/>
          <w:sz w:val="20"/>
          <w:szCs w:val="20"/>
        </w:rPr>
        <w:t>progressive glomerulonephritis (RPGN). Give a differential diagnosis of the more common causes of RPGN and the biopsy/pathology findings seen.</w:t>
      </w:r>
    </w:p>
    <w:p w14:paraId="74179F6C" w14:textId="77777777" w:rsidR="002B0B96" w:rsidRDefault="002B0B96" w:rsidP="002B0B9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F36CB">
        <w:rPr>
          <w:rFonts w:ascii="Arial" w:eastAsia="Times New Roman" w:hAnsi="Arial" w:cs="Arial"/>
          <w:sz w:val="20"/>
          <w:szCs w:val="20"/>
        </w:rPr>
        <w:t>Describe the classic clinical presentations, laboratory findings, and associated systemic diseases (if any) of the following syndromes: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494BE03B" w14:textId="77777777" w:rsidR="002B0B96" w:rsidRDefault="002B0B96" w:rsidP="002B0B9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F36CB">
        <w:rPr>
          <w:rFonts w:ascii="Arial" w:eastAsia="Times New Roman" w:hAnsi="Arial" w:cs="Arial"/>
          <w:sz w:val="20"/>
          <w:szCs w:val="20"/>
        </w:rPr>
        <w:t>Focal Segmental Glomerulosclerosis</w:t>
      </w:r>
    </w:p>
    <w:p w14:paraId="7EE603C8" w14:textId="77777777" w:rsidR="002B0B96" w:rsidRDefault="002B0B96" w:rsidP="002B0B9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F36CB">
        <w:rPr>
          <w:rFonts w:ascii="Arial" w:eastAsia="Times New Roman" w:hAnsi="Arial" w:cs="Arial"/>
          <w:sz w:val="20"/>
          <w:szCs w:val="20"/>
        </w:rPr>
        <w:t xml:space="preserve">Membranous </w:t>
      </w:r>
      <w:proofErr w:type="spellStart"/>
      <w:r w:rsidRPr="00EF36CB">
        <w:rPr>
          <w:rFonts w:ascii="Arial" w:eastAsia="Times New Roman" w:hAnsi="Arial" w:cs="Arial"/>
          <w:sz w:val="20"/>
          <w:szCs w:val="20"/>
        </w:rPr>
        <w:t>Glomerulonephropathy</w:t>
      </w:r>
      <w:proofErr w:type="spellEnd"/>
    </w:p>
    <w:p w14:paraId="592C1361" w14:textId="77777777" w:rsidR="002B0B96" w:rsidRDefault="002B0B96" w:rsidP="002B0B9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</w:t>
      </w:r>
      <w:r w:rsidRPr="00EF36CB">
        <w:rPr>
          <w:rFonts w:ascii="Arial" w:eastAsia="Times New Roman" w:hAnsi="Arial" w:cs="Arial"/>
          <w:sz w:val="20"/>
          <w:szCs w:val="20"/>
        </w:rPr>
        <w:t xml:space="preserve">inimal Change </w:t>
      </w:r>
      <w:proofErr w:type="spellStart"/>
      <w:r w:rsidRPr="00EF36CB">
        <w:rPr>
          <w:rFonts w:ascii="Arial" w:eastAsia="Times New Roman" w:hAnsi="Arial" w:cs="Arial"/>
          <w:sz w:val="20"/>
          <w:szCs w:val="20"/>
        </w:rPr>
        <w:t>Glomerulonephropathy</w:t>
      </w:r>
      <w:proofErr w:type="spellEnd"/>
    </w:p>
    <w:p w14:paraId="0AF056AB" w14:textId="77777777" w:rsidR="002B0B96" w:rsidRDefault="002B0B96" w:rsidP="002B0B9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Pr="00EF36CB">
        <w:rPr>
          <w:rFonts w:ascii="Arial" w:eastAsia="Times New Roman" w:hAnsi="Arial" w:cs="Arial"/>
          <w:sz w:val="20"/>
          <w:szCs w:val="20"/>
        </w:rPr>
        <w:t>iabetic nephropathy</w:t>
      </w:r>
    </w:p>
    <w:p w14:paraId="41399D36" w14:textId="77777777" w:rsidR="002B0B96" w:rsidRDefault="002B0B96" w:rsidP="002B0B9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F36CB">
        <w:rPr>
          <w:rFonts w:ascii="Arial" w:eastAsia="Times New Roman" w:hAnsi="Arial" w:cs="Arial"/>
          <w:sz w:val="20"/>
          <w:szCs w:val="20"/>
        </w:rPr>
        <w:t>Anti-Glomerular Basement Membrane (GBM)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F36CB">
        <w:rPr>
          <w:rFonts w:ascii="Arial" w:eastAsia="Times New Roman" w:hAnsi="Arial" w:cs="Arial"/>
          <w:sz w:val="20"/>
          <w:szCs w:val="20"/>
        </w:rPr>
        <w:t>Disease</w:t>
      </w:r>
    </w:p>
    <w:p w14:paraId="5A50F835" w14:textId="77777777" w:rsidR="002B0B96" w:rsidRDefault="002B0B96" w:rsidP="002B0B9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F36CB">
        <w:rPr>
          <w:rFonts w:ascii="Arial" w:eastAsia="Times New Roman" w:hAnsi="Arial" w:cs="Arial"/>
          <w:sz w:val="20"/>
          <w:szCs w:val="20"/>
        </w:rPr>
        <w:t xml:space="preserve">Pauci-Immune </w:t>
      </w:r>
      <w:proofErr w:type="spellStart"/>
      <w:r w:rsidRPr="00EF36CB">
        <w:rPr>
          <w:rFonts w:ascii="Arial" w:eastAsia="Times New Roman" w:hAnsi="Arial" w:cs="Arial"/>
          <w:sz w:val="20"/>
          <w:szCs w:val="20"/>
        </w:rPr>
        <w:t>Glomulonephritis</w:t>
      </w:r>
      <w:proofErr w:type="spellEnd"/>
      <w:r w:rsidRPr="00EF36CB">
        <w:rPr>
          <w:rFonts w:ascii="Arial" w:eastAsia="Times New Roman" w:hAnsi="Arial" w:cs="Arial"/>
          <w:sz w:val="20"/>
          <w:szCs w:val="20"/>
        </w:rPr>
        <w:t xml:space="preserve"> (ANCA positive)</w:t>
      </w:r>
    </w:p>
    <w:p w14:paraId="6F4EF00E" w14:textId="77777777" w:rsidR="002B0B96" w:rsidRDefault="002B0B96" w:rsidP="002B0B9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F36CB">
        <w:rPr>
          <w:rFonts w:ascii="Arial" w:eastAsia="Times New Roman" w:hAnsi="Arial" w:cs="Arial"/>
          <w:sz w:val="20"/>
          <w:szCs w:val="20"/>
        </w:rPr>
        <w:t>Immune-Complex GN (Give several diagnoses in the differential of Immune-complex GN)</w:t>
      </w:r>
    </w:p>
    <w:p w14:paraId="425C2B04" w14:textId="77777777" w:rsidR="002B0B96" w:rsidRDefault="002B0B96" w:rsidP="002B0B9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Which of the above diseases present with low complement levels, and which specific complement is low in those?</w:t>
      </w:r>
    </w:p>
    <w:p w14:paraId="64EB21E0" w14:textId="77777777" w:rsidR="002B0B96" w:rsidRPr="00306C9F" w:rsidRDefault="002B0B96" w:rsidP="002B0B96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val="en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val="en"/>
        </w:rPr>
        <w:t xml:space="preserve"> </w:t>
      </w:r>
    </w:p>
    <w:p w14:paraId="2B7F7E05" w14:textId="77777777" w:rsidR="002B0B96" w:rsidRDefault="002B0B96" w:rsidP="002B0B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306C9F">
        <w:rPr>
          <w:rFonts w:ascii="Arial" w:eastAsia="Times New Roman" w:hAnsi="Arial" w:cs="Arial"/>
          <w:color w:val="000000"/>
          <w:sz w:val="20"/>
          <w:szCs w:val="20"/>
          <w:lang w:val="en"/>
        </w:rPr>
        <w:t>11:30 – 12:15 – Proteinuria, Dr. Barney</w:t>
      </w:r>
    </w:p>
    <w:p w14:paraId="55125204" w14:textId="77777777" w:rsidR="002B0B96" w:rsidRDefault="002B0B96" w:rsidP="002B0B9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Know how much proteinuria and albuminuria is considered within normal limits in a 24-hour urine collection (or on spot testing). </w:t>
      </w:r>
    </w:p>
    <w:p w14:paraId="3AE1593E" w14:textId="77777777" w:rsidR="002B0B96" w:rsidRDefault="002B0B96" w:rsidP="002B0B9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Know the three mechanisms of excessive protein excretion in the urine.</w:t>
      </w:r>
    </w:p>
    <w:p w14:paraId="722967AD" w14:textId="77777777" w:rsidR="002B0B96" w:rsidRDefault="002B0B96" w:rsidP="002B0B9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Know the approach to the patient with a positive dipstick test for proteinuria and its limitations to detecting proteinuria compared to other quantification techniques. </w:t>
      </w:r>
    </w:p>
    <w:p w14:paraId="397B54FB" w14:textId="77777777" w:rsidR="002B0B96" w:rsidRDefault="002B0B96" w:rsidP="002B0B9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Understand the indications for 24-hour urine protein quantification, spot urine sampling for protein/creatinine ratio and albumin/creatinine ratio, and urine protein electrophoresis. </w:t>
      </w:r>
    </w:p>
    <w:p w14:paraId="4B77E1D9" w14:textId="77777777" w:rsidR="002B0B96" w:rsidRDefault="002B0B96" w:rsidP="002B0B9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Describe the appropriate work up to evaluate a patient with proteinuria.</w:t>
      </w:r>
    </w:p>
    <w:p w14:paraId="1F53AECA" w14:textId="77777777" w:rsidR="001E0D46" w:rsidRDefault="001E0D46"/>
    <w:sectPr w:rsidR="001E0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322E5"/>
    <w:multiLevelType w:val="hybridMultilevel"/>
    <w:tmpl w:val="0AFE2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652DC"/>
    <w:multiLevelType w:val="hybridMultilevel"/>
    <w:tmpl w:val="F6082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96"/>
    <w:rsid w:val="001E0D46"/>
    <w:rsid w:val="002B0B96"/>
    <w:rsid w:val="0050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A066F"/>
  <w15:chartTrackingRefBased/>
  <w15:docId w15:val="{04D6B6AB-7D3F-4560-AB23-5042B787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B9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B96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Dodaro</dc:creator>
  <cp:keywords/>
  <dc:description/>
  <cp:lastModifiedBy>Greg Dodaro</cp:lastModifiedBy>
  <cp:revision>1</cp:revision>
  <dcterms:created xsi:type="dcterms:W3CDTF">2019-12-24T01:36:00Z</dcterms:created>
  <dcterms:modified xsi:type="dcterms:W3CDTF">2019-12-24T01:37:00Z</dcterms:modified>
</cp:coreProperties>
</file>