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3400" w14:textId="4552BC54" w:rsidR="00047796" w:rsidRDefault="003627CC" w:rsidP="003627CC">
      <w:pPr>
        <w:jc w:val="center"/>
        <w:rPr>
          <w:b/>
          <w:bCs/>
          <w:u w:val="single"/>
        </w:rPr>
      </w:pPr>
      <w:r w:rsidRPr="003627CC">
        <w:rPr>
          <w:b/>
          <w:bCs/>
          <w:u w:val="single"/>
        </w:rPr>
        <w:t>October 21, 2025, AHD Learning Objectives</w:t>
      </w:r>
    </w:p>
    <w:p w14:paraId="4931FB29" w14:textId="77777777" w:rsidR="003627CC" w:rsidRDefault="003627CC" w:rsidP="003627CC">
      <w:pPr>
        <w:jc w:val="center"/>
        <w:rPr>
          <w:b/>
          <w:bCs/>
          <w:u w:val="single"/>
        </w:rPr>
      </w:pPr>
    </w:p>
    <w:p w14:paraId="04F1732B" w14:textId="77777777" w:rsidR="00A07E6A" w:rsidRDefault="00A07E6A" w:rsidP="00A07E6A">
      <w:pPr>
        <w:rPr>
          <w:b/>
          <w:bCs/>
          <w:u w:val="single"/>
        </w:rPr>
      </w:pPr>
      <w:r>
        <w:rPr>
          <w:b/>
          <w:bCs/>
          <w:u w:val="single"/>
        </w:rPr>
        <w:t>Renal Transplant:</w:t>
      </w:r>
    </w:p>
    <w:p w14:paraId="3DDBE56E" w14:textId="77777777" w:rsidR="00A07E6A" w:rsidRDefault="00A07E6A" w:rsidP="00A07E6A">
      <w:pPr>
        <w:pStyle w:val="ListParagraph"/>
        <w:numPr>
          <w:ilvl w:val="0"/>
          <w:numId w:val="4"/>
        </w:numPr>
        <w:spacing w:after="0" w:line="240" w:lineRule="auto"/>
      </w:pPr>
      <w:r>
        <w:t>Describe the benefit to patients who obtain a well-timed renal transplant before the need for initiation of dialysis.</w:t>
      </w:r>
    </w:p>
    <w:p w14:paraId="37FD7844" w14:textId="77777777" w:rsidR="00A07E6A" w:rsidRPr="00560FC5" w:rsidRDefault="00A07E6A" w:rsidP="00A07E6A">
      <w:pPr>
        <w:pStyle w:val="ListParagraph"/>
        <w:numPr>
          <w:ilvl w:val="0"/>
          <w:numId w:val="4"/>
        </w:numPr>
        <w:spacing w:after="0" w:line="240" w:lineRule="auto"/>
        <w:rPr>
          <w:b/>
          <w:bCs/>
          <w:u w:val="single"/>
        </w:rPr>
      </w:pPr>
      <w:r>
        <w:t>List the immunosuppression drugs required for successful transplantation and know the side effects of each of these medications.</w:t>
      </w:r>
    </w:p>
    <w:p w14:paraId="11FB913D" w14:textId="77777777" w:rsidR="00A07E6A" w:rsidRPr="00560FC5" w:rsidRDefault="00A07E6A" w:rsidP="00A07E6A">
      <w:pPr>
        <w:pStyle w:val="ListParagraph"/>
        <w:numPr>
          <w:ilvl w:val="0"/>
          <w:numId w:val="4"/>
        </w:numPr>
        <w:spacing w:after="0" w:line="240" w:lineRule="auto"/>
        <w:rPr>
          <w:b/>
          <w:bCs/>
          <w:u w:val="single"/>
        </w:rPr>
      </w:pPr>
      <w:r>
        <w:t>Understand the diagnosis, the pathophysiology, and the management of patients with acute cell-mediated rejection and antibody mediated rejection.</w:t>
      </w:r>
    </w:p>
    <w:p w14:paraId="7AFF7E0A" w14:textId="77777777" w:rsidR="00A07E6A" w:rsidRPr="00560FC5" w:rsidRDefault="00A07E6A" w:rsidP="00A07E6A">
      <w:pPr>
        <w:pStyle w:val="ListParagraph"/>
        <w:rPr>
          <w:b/>
          <w:bCs/>
          <w:u w:val="single"/>
        </w:rPr>
      </w:pPr>
    </w:p>
    <w:p w14:paraId="36933E45" w14:textId="77777777" w:rsidR="00A07E6A" w:rsidRDefault="00A07E6A" w:rsidP="00A07E6A">
      <w:pPr>
        <w:rPr>
          <w:b/>
          <w:bCs/>
          <w:u w:val="single"/>
        </w:rPr>
      </w:pPr>
      <w:r>
        <w:rPr>
          <w:b/>
          <w:bCs/>
          <w:u w:val="single"/>
        </w:rPr>
        <w:t>Hyper and Hyponatremia:</w:t>
      </w:r>
    </w:p>
    <w:p w14:paraId="49C8A17A" w14:textId="77777777" w:rsidR="00A07E6A" w:rsidRDefault="00A07E6A" w:rsidP="00A07E6A">
      <w:pPr>
        <w:pStyle w:val="ListParagraph"/>
        <w:numPr>
          <w:ilvl w:val="0"/>
          <w:numId w:val="3"/>
        </w:numPr>
        <w:spacing w:after="0" w:line="240" w:lineRule="auto"/>
      </w:pPr>
      <w:r>
        <w:t xml:space="preserve">Describe the evaluation and management of the patient who presents with </w:t>
      </w:r>
      <w:r w:rsidRPr="00590649">
        <w:rPr>
          <w:b/>
          <w:bCs/>
        </w:rPr>
        <w:t>symptomatic</w:t>
      </w:r>
      <w:r>
        <w:t xml:space="preserve"> severe hyponatremia.</w:t>
      </w:r>
    </w:p>
    <w:p w14:paraId="30E798F1" w14:textId="77777777" w:rsidR="00A07E6A" w:rsidRDefault="00A07E6A" w:rsidP="00A07E6A">
      <w:pPr>
        <w:pStyle w:val="ListParagraph"/>
        <w:numPr>
          <w:ilvl w:val="0"/>
          <w:numId w:val="3"/>
        </w:numPr>
        <w:spacing w:after="0" w:line="240" w:lineRule="auto"/>
      </w:pPr>
      <w:r>
        <w:t xml:space="preserve">Describe the evaluation of a patient who presents with asymptomatic hyponatremia of unknown duration. </w:t>
      </w:r>
    </w:p>
    <w:p w14:paraId="3FE3244D" w14:textId="77777777" w:rsidR="00A07E6A" w:rsidRDefault="00A07E6A" w:rsidP="00A07E6A">
      <w:pPr>
        <w:pStyle w:val="ListParagraph"/>
        <w:numPr>
          <w:ilvl w:val="0"/>
          <w:numId w:val="3"/>
        </w:numPr>
        <w:spacing w:after="0" w:line="240" w:lineRule="auto"/>
      </w:pPr>
      <w:r>
        <w:t>Know the differential diagnosis for hyperosmotic hyponatremia, isosmotic hyponatremia, and hypoosmotic hyponatremia.</w:t>
      </w:r>
    </w:p>
    <w:p w14:paraId="07F47425" w14:textId="77777777" w:rsidR="00A07E6A" w:rsidRDefault="00A07E6A" w:rsidP="00A07E6A">
      <w:pPr>
        <w:pStyle w:val="ListParagraph"/>
        <w:numPr>
          <w:ilvl w:val="0"/>
          <w:numId w:val="3"/>
        </w:numPr>
        <w:spacing w:after="0" w:line="240" w:lineRule="auto"/>
      </w:pPr>
      <w:r>
        <w:t>Describe the evaluation and management of a patient with hypervolemic hypoosmotic hyponatremia, euvolemic hypoosmotic hyponatremia, and hypovolemic hypoosmotic hyponatremia.</w:t>
      </w:r>
    </w:p>
    <w:p w14:paraId="48185E92" w14:textId="77777777" w:rsidR="00A07E6A" w:rsidRDefault="00A07E6A" w:rsidP="00A07E6A">
      <w:pPr>
        <w:pStyle w:val="ListParagraph"/>
        <w:numPr>
          <w:ilvl w:val="0"/>
          <w:numId w:val="3"/>
        </w:numPr>
        <w:spacing w:after="0" w:line="240" w:lineRule="auto"/>
      </w:pPr>
      <w:r>
        <w:t>In a patient with hypernatremia, calculate a free water deficit, describe the type of fluid and rate of fluid per hour IV to correct the deficit. Know the safe parameters of correction to avoid complications such as osmotic demyelination</w:t>
      </w:r>
    </w:p>
    <w:p w14:paraId="1828DBF5" w14:textId="77777777" w:rsidR="003627CC" w:rsidRPr="007C3966" w:rsidRDefault="003627CC" w:rsidP="003627CC">
      <w:pPr>
        <w:rPr>
          <w:sz w:val="20"/>
          <w:szCs w:val="20"/>
        </w:rPr>
      </w:pPr>
    </w:p>
    <w:p w14:paraId="5EB39E16" w14:textId="77777777" w:rsidR="007C3966" w:rsidRPr="007C3966" w:rsidRDefault="007C3966" w:rsidP="007C3966">
      <w:pPr>
        <w:rPr>
          <w:rFonts w:ascii="Calibri" w:hAnsi="Calibri" w:cs="Calibri"/>
          <w:sz w:val="20"/>
          <w:szCs w:val="20"/>
        </w:rPr>
      </w:pPr>
      <w:r w:rsidRPr="007C3966">
        <w:rPr>
          <w:rFonts w:ascii="Calibri" w:hAnsi="Calibri" w:cs="Calibri"/>
          <w:b/>
          <w:bCs/>
          <w:sz w:val="20"/>
          <w:szCs w:val="20"/>
          <w:u w:val="single"/>
        </w:rPr>
        <w:t>Edema/Diuretics:</w:t>
      </w:r>
      <w:r w:rsidRPr="007C3966">
        <w:rPr>
          <w:rFonts w:ascii="Calibri" w:hAnsi="Calibri" w:cs="Calibri"/>
          <w:sz w:val="20"/>
          <w:szCs w:val="20"/>
        </w:rPr>
        <w:t> </w:t>
      </w:r>
    </w:p>
    <w:p w14:paraId="2BC4A41C" w14:textId="77777777" w:rsidR="007C3966" w:rsidRPr="007C3966" w:rsidRDefault="007C3966" w:rsidP="007C3966">
      <w:pPr>
        <w:pStyle w:val="ListParagraph"/>
        <w:numPr>
          <w:ilvl w:val="0"/>
          <w:numId w:val="2"/>
        </w:numPr>
        <w:spacing w:after="0" w:line="240" w:lineRule="auto"/>
        <w:rPr>
          <w:rFonts w:ascii="Calibri" w:hAnsi="Calibri" w:cs="Calibri"/>
          <w:sz w:val="20"/>
          <w:szCs w:val="20"/>
        </w:rPr>
      </w:pPr>
      <w:r w:rsidRPr="007C3966">
        <w:rPr>
          <w:rFonts w:ascii="Calibri" w:hAnsi="Calibri" w:cs="Calibri"/>
          <w:sz w:val="20"/>
          <w:szCs w:val="20"/>
        </w:rPr>
        <w:t xml:space="preserve">Describe the mechanism of each of the following classes of diuretics and know where they work in the nephron: carbonic anhydrase inhibitors, loop, thiazide, </w:t>
      </w:r>
      <w:proofErr w:type="spellStart"/>
      <w:r w:rsidRPr="007C3966">
        <w:rPr>
          <w:rFonts w:ascii="Calibri" w:hAnsi="Calibri" w:cs="Calibri"/>
          <w:sz w:val="20"/>
          <w:szCs w:val="20"/>
        </w:rPr>
        <w:t>ENac</w:t>
      </w:r>
      <w:proofErr w:type="spellEnd"/>
      <w:r w:rsidRPr="007C3966">
        <w:rPr>
          <w:rFonts w:ascii="Calibri" w:hAnsi="Calibri" w:cs="Calibri"/>
          <w:sz w:val="20"/>
          <w:szCs w:val="20"/>
        </w:rPr>
        <w:t xml:space="preserve"> blockers, mineralocorticoid receptor blockers, and SGLT-2 inhibitors. </w:t>
      </w:r>
    </w:p>
    <w:p w14:paraId="31D89226" w14:textId="77777777" w:rsidR="007C3966" w:rsidRPr="007C3966" w:rsidRDefault="007C3966" w:rsidP="007C3966">
      <w:pPr>
        <w:pStyle w:val="ListParagraph"/>
        <w:numPr>
          <w:ilvl w:val="0"/>
          <w:numId w:val="2"/>
        </w:numPr>
        <w:spacing w:after="0" w:line="240" w:lineRule="auto"/>
        <w:rPr>
          <w:rFonts w:ascii="Calibri" w:hAnsi="Calibri" w:cs="Calibri"/>
          <w:sz w:val="20"/>
          <w:szCs w:val="20"/>
        </w:rPr>
      </w:pPr>
      <w:r w:rsidRPr="007C3966">
        <w:rPr>
          <w:rFonts w:ascii="Calibri" w:hAnsi="Calibri" w:cs="Calibri"/>
          <w:sz w:val="20"/>
          <w:szCs w:val="20"/>
        </w:rPr>
        <w:t>Strategize ways to overcome challenges with diuresis such as electrolyte abnormalities, metabolic alkalosis and diuretic resistance </w:t>
      </w:r>
    </w:p>
    <w:p w14:paraId="5C6B9CB0" w14:textId="77777777" w:rsidR="007C3966" w:rsidRPr="007C3966" w:rsidRDefault="007C3966" w:rsidP="007C3966">
      <w:pPr>
        <w:pStyle w:val="ListParagraph"/>
        <w:numPr>
          <w:ilvl w:val="0"/>
          <w:numId w:val="2"/>
        </w:numPr>
        <w:spacing w:after="0" w:line="240" w:lineRule="auto"/>
        <w:rPr>
          <w:rFonts w:ascii="Calibri" w:hAnsi="Calibri" w:cs="Calibri"/>
          <w:sz w:val="20"/>
          <w:szCs w:val="20"/>
        </w:rPr>
      </w:pPr>
      <w:r w:rsidRPr="007C3966">
        <w:rPr>
          <w:rFonts w:ascii="Calibri" w:hAnsi="Calibri" w:cs="Calibri"/>
          <w:sz w:val="20"/>
          <w:szCs w:val="20"/>
        </w:rPr>
        <w:t>Understand the underlying mechanisms for development of edema </w:t>
      </w:r>
    </w:p>
    <w:p w14:paraId="2766E075" w14:textId="77777777" w:rsidR="007C3966" w:rsidRPr="007C3966" w:rsidRDefault="007C3966" w:rsidP="007C3966">
      <w:pPr>
        <w:pStyle w:val="ListParagraph"/>
        <w:rPr>
          <w:rFonts w:ascii="Calibri" w:hAnsi="Calibri" w:cs="Calibri"/>
          <w:sz w:val="20"/>
          <w:szCs w:val="20"/>
        </w:rPr>
      </w:pPr>
      <w:r w:rsidRPr="007C3966">
        <w:rPr>
          <w:rFonts w:ascii="Calibri" w:hAnsi="Calibri" w:cs="Calibri"/>
          <w:sz w:val="20"/>
          <w:szCs w:val="20"/>
        </w:rPr>
        <w:t> </w:t>
      </w:r>
    </w:p>
    <w:p w14:paraId="30BDBE26" w14:textId="77777777" w:rsidR="007C3966" w:rsidRPr="007C3966" w:rsidRDefault="007C3966" w:rsidP="007C3966">
      <w:pPr>
        <w:pStyle w:val="ListParagraph"/>
        <w:rPr>
          <w:rFonts w:ascii="Calibri" w:hAnsi="Calibri" w:cs="Calibri"/>
          <w:sz w:val="20"/>
          <w:szCs w:val="20"/>
        </w:rPr>
      </w:pPr>
      <w:r w:rsidRPr="007C3966">
        <w:rPr>
          <w:rFonts w:ascii="Calibri" w:hAnsi="Calibri" w:cs="Calibri"/>
          <w:sz w:val="20"/>
          <w:szCs w:val="20"/>
        </w:rPr>
        <w:t> </w:t>
      </w:r>
    </w:p>
    <w:p w14:paraId="6647B75B" w14:textId="77777777" w:rsidR="003627CC" w:rsidRPr="007C3966" w:rsidRDefault="003627CC" w:rsidP="007C3966">
      <w:pPr>
        <w:rPr>
          <w:b/>
          <w:bCs/>
          <w:sz w:val="20"/>
          <w:szCs w:val="20"/>
          <w:u w:val="single"/>
        </w:rPr>
      </w:pPr>
    </w:p>
    <w:sectPr w:rsidR="003627CC" w:rsidRPr="007C3966" w:rsidSect="00374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5E2"/>
    <w:multiLevelType w:val="multilevel"/>
    <w:tmpl w:val="35021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9B79C3"/>
    <w:multiLevelType w:val="hybridMultilevel"/>
    <w:tmpl w:val="BBEAA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9072F"/>
    <w:multiLevelType w:val="hybridMultilevel"/>
    <w:tmpl w:val="66A2B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40C3C"/>
    <w:multiLevelType w:val="multilevel"/>
    <w:tmpl w:val="AAFCF0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heme="minorHAnsi" w:eastAsiaTheme="minorHAnsi" w:hAnsiTheme="minorHAnsi" w:cstheme="minorBid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793984088">
    <w:abstractNumId w:val="3"/>
  </w:num>
  <w:num w:numId="2" w16cid:durableId="2126581070">
    <w:abstractNumId w:val="0"/>
  </w:num>
  <w:num w:numId="3" w16cid:durableId="684526980">
    <w:abstractNumId w:val="2"/>
  </w:num>
  <w:num w:numId="4" w16cid:durableId="289091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CC"/>
    <w:rsid w:val="00047796"/>
    <w:rsid w:val="003627CC"/>
    <w:rsid w:val="00371DD9"/>
    <w:rsid w:val="003748B3"/>
    <w:rsid w:val="004D48E2"/>
    <w:rsid w:val="006851F4"/>
    <w:rsid w:val="007C3966"/>
    <w:rsid w:val="008D4061"/>
    <w:rsid w:val="00A07E6A"/>
    <w:rsid w:val="00B6416E"/>
    <w:rsid w:val="00E65252"/>
    <w:rsid w:val="00F1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23C2C"/>
  <w15:chartTrackingRefBased/>
  <w15:docId w15:val="{8B1AD28F-8EB9-C94F-BB7B-7312F225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7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7CC"/>
    <w:rPr>
      <w:rFonts w:eastAsiaTheme="majorEastAsia" w:cstheme="majorBidi"/>
      <w:color w:val="272727" w:themeColor="text1" w:themeTint="D8"/>
    </w:rPr>
  </w:style>
  <w:style w:type="paragraph" w:styleId="Title">
    <w:name w:val="Title"/>
    <w:basedOn w:val="Normal"/>
    <w:next w:val="Normal"/>
    <w:link w:val="TitleChar"/>
    <w:uiPriority w:val="10"/>
    <w:qFormat/>
    <w:rsid w:val="00362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7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7CC"/>
    <w:pPr>
      <w:spacing w:before="160"/>
      <w:jc w:val="center"/>
    </w:pPr>
    <w:rPr>
      <w:i/>
      <w:iCs/>
      <w:color w:val="404040" w:themeColor="text1" w:themeTint="BF"/>
    </w:rPr>
  </w:style>
  <w:style w:type="character" w:customStyle="1" w:styleId="QuoteChar">
    <w:name w:val="Quote Char"/>
    <w:basedOn w:val="DefaultParagraphFont"/>
    <w:link w:val="Quote"/>
    <w:uiPriority w:val="29"/>
    <w:rsid w:val="003627CC"/>
    <w:rPr>
      <w:i/>
      <w:iCs/>
      <w:color w:val="404040" w:themeColor="text1" w:themeTint="BF"/>
    </w:rPr>
  </w:style>
  <w:style w:type="paragraph" w:styleId="ListParagraph">
    <w:name w:val="List Paragraph"/>
    <w:basedOn w:val="Normal"/>
    <w:uiPriority w:val="34"/>
    <w:qFormat/>
    <w:rsid w:val="003627CC"/>
    <w:pPr>
      <w:ind w:left="720"/>
      <w:contextualSpacing/>
    </w:pPr>
  </w:style>
  <w:style w:type="character" w:styleId="IntenseEmphasis">
    <w:name w:val="Intense Emphasis"/>
    <w:basedOn w:val="DefaultParagraphFont"/>
    <w:uiPriority w:val="21"/>
    <w:qFormat/>
    <w:rsid w:val="003627CC"/>
    <w:rPr>
      <w:i/>
      <w:iCs/>
      <w:color w:val="0F4761" w:themeColor="accent1" w:themeShade="BF"/>
    </w:rPr>
  </w:style>
  <w:style w:type="paragraph" w:styleId="IntenseQuote">
    <w:name w:val="Intense Quote"/>
    <w:basedOn w:val="Normal"/>
    <w:next w:val="Normal"/>
    <w:link w:val="IntenseQuoteChar"/>
    <w:uiPriority w:val="30"/>
    <w:qFormat/>
    <w:rsid w:val="00362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7CC"/>
    <w:rPr>
      <w:i/>
      <w:iCs/>
      <w:color w:val="0F4761" w:themeColor="accent1" w:themeShade="BF"/>
    </w:rPr>
  </w:style>
  <w:style w:type="character" w:styleId="IntenseReference">
    <w:name w:val="Intense Reference"/>
    <w:basedOn w:val="DefaultParagraphFont"/>
    <w:uiPriority w:val="32"/>
    <w:qFormat/>
    <w:rsid w:val="003627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Shinar</dc:creator>
  <cp:keywords/>
  <dc:description/>
  <cp:lastModifiedBy>Ron Shinar</cp:lastModifiedBy>
  <cp:revision>2</cp:revision>
  <dcterms:created xsi:type="dcterms:W3CDTF">2025-09-25T19:35:00Z</dcterms:created>
  <dcterms:modified xsi:type="dcterms:W3CDTF">2025-09-25T19:35:00Z</dcterms:modified>
</cp:coreProperties>
</file>