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90" w:rsidRPr="00E02EF6" w:rsidRDefault="00DA73C6" w:rsidP="00DA73C6">
      <w:pPr>
        <w:rPr>
          <w:b/>
          <w:bCs/>
          <w:sz w:val="40"/>
          <w:szCs w:val="40"/>
          <w:lang w:bidi="ar-IQ"/>
        </w:rPr>
      </w:pPr>
      <w:r>
        <w:rPr>
          <w:b/>
          <w:bCs/>
          <w:sz w:val="40"/>
          <w:szCs w:val="40"/>
          <w:lang w:bidi="ar-IQ"/>
        </w:rPr>
        <w:t xml:space="preserve">Nephrology </w:t>
      </w:r>
      <w:r w:rsidR="00612A90" w:rsidRPr="00E02EF6">
        <w:rPr>
          <w:b/>
          <w:bCs/>
          <w:sz w:val="40"/>
          <w:szCs w:val="40"/>
          <w:lang w:bidi="ar-IQ"/>
        </w:rPr>
        <w:t>Rotation Curriculum:</w:t>
      </w:r>
    </w:p>
    <w:p w:rsidR="00612A90" w:rsidRDefault="00612A90" w:rsidP="00612A90">
      <w:pPr>
        <w:rPr>
          <w:lang w:bidi="ar-IQ"/>
        </w:rPr>
      </w:pPr>
    </w:p>
    <w:tbl>
      <w:tblPr>
        <w:tblStyle w:val="a3"/>
        <w:tblW w:w="11057" w:type="dxa"/>
        <w:tblInd w:w="-176" w:type="dxa"/>
        <w:tblLook w:val="04A0"/>
      </w:tblPr>
      <w:tblGrid>
        <w:gridCol w:w="1401"/>
        <w:gridCol w:w="9656"/>
      </w:tblGrid>
      <w:tr w:rsidR="006E14BF" w:rsidTr="006E14BF">
        <w:tc>
          <w:tcPr>
            <w:tcW w:w="1277" w:type="dxa"/>
          </w:tcPr>
          <w:p w:rsidR="00E02EF6" w:rsidRDefault="00E02EF6" w:rsidP="004F133C"/>
          <w:p w:rsidR="006E14BF" w:rsidRDefault="006E14BF" w:rsidP="004F133C"/>
          <w:p w:rsidR="006E14BF" w:rsidRDefault="006E14BF" w:rsidP="004F133C"/>
          <w:p w:rsidR="006E14BF" w:rsidRDefault="006E14BF" w:rsidP="004F133C"/>
          <w:p w:rsidR="006E14BF" w:rsidRDefault="006E14BF" w:rsidP="004F133C"/>
          <w:p w:rsidR="006E14BF" w:rsidRDefault="007B036C" w:rsidP="006E14BF">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7pt;height:1in" fillcolor="black">
                  <v:shadow color="#868686"/>
                  <v:textpath style="font-family:&quot;Arial Black&quot;;font-size:14pt;v-text-align:letter-justify;v-text-spacing:78650f;v-text-kern:t" trim="t" fitpath="t" string="week 1"/>
                </v:shape>
              </w:pict>
            </w:r>
          </w:p>
        </w:tc>
        <w:tc>
          <w:tcPr>
            <w:tcW w:w="9780" w:type="dxa"/>
          </w:tcPr>
          <w:p w:rsidR="00AD04AA" w:rsidRPr="0069494C" w:rsidRDefault="00AD04AA" w:rsidP="00AD04AA">
            <w:pPr>
              <w:rPr>
                <w:rFonts w:asciiTheme="majorBidi" w:hAnsiTheme="majorBidi" w:cstheme="majorBidi"/>
              </w:rPr>
            </w:pPr>
            <w:r w:rsidRPr="0069494C">
              <w:rPr>
                <w:rFonts w:asciiTheme="majorBidi" w:hAnsiTheme="majorBidi" w:cstheme="majorBidi"/>
                <w:b/>
                <w:bCs/>
                <w:u w:val="single"/>
              </w:rPr>
              <w:t>Clinical evaluation of kidney function</w:t>
            </w:r>
            <w:r w:rsidRPr="0069494C">
              <w:rPr>
                <w:rFonts w:asciiTheme="majorBidi" w:hAnsiTheme="majorBidi" w:cstheme="majorBidi"/>
              </w:rPr>
              <w:t xml:space="preserve"> </w:t>
            </w:r>
          </w:p>
          <w:p w:rsidR="00AD04AA" w:rsidRPr="0069494C" w:rsidRDefault="00AD04AA" w:rsidP="00AD04AA">
            <w:pPr>
              <w:pStyle w:val="a4"/>
              <w:numPr>
                <w:ilvl w:val="0"/>
                <w:numId w:val="3"/>
              </w:numPr>
              <w:rPr>
                <w:rFonts w:asciiTheme="majorBidi" w:hAnsiTheme="majorBidi" w:cstheme="majorBidi"/>
              </w:rPr>
            </w:pPr>
            <w:r w:rsidRPr="0069494C">
              <w:rPr>
                <w:rFonts w:asciiTheme="majorBidi" w:hAnsiTheme="majorBidi" w:cstheme="majorBidi"/>
              </w:rPr>
              <w:t xml:space="preserve">Biochemical markers of kidney function </w:t>
            </w:r>
          </w:p>
          <w:p w:rsidR="00AD04AA" w:rsidRPr="00B75B13" w:rsidRDefault="00AD04AA" w:rsidP="00B75B13">
            <w:pPr>
              <w:pStyle w:val="a4"/>
              <w:numPr>
                <w:ilvl w:val="0"/>
                <w:numId w:val="3"/>
              </w:numPr>
              <w:rPr>
                <w:rFonts w:asciiTheme="majorBidi" w:hAnsiTheme="majorBidi" w:cstheme="majorBidi"/>
              </w:rPr>
            </w:pPr>
            <w:r w:rsidRPr="0069494C">
              <w:rPr>
                <w:rFonts w:asciiTheme="majorBidi" w:hAnsiTheme="majorBidi" w:cstheme="majorBidi"/>
              </w:rPr>
              <w:t>Interpretation of Urinalysis</w:t>
            </w:r>
            <w:r w:rsidRPr="0069494C">
              <w:rPr>
                <w:rFonts w:asciiTheme="majorBidi" w:hAnsiTheme="majorBidi" w:cstheme="majorBidi"/>
              </w:rPr>
              <w:t xml:space="preserve"> and urine microscopy </w:t>
            </w:r>
          </w:p>
          <w:p w:rsidR="001E21FF" w:rsidRPr="00B75B13" w:rsidRDefault="00AD04AA" w:rsidP="00B75B13">
            <w:pPr>
              <w:pStyle w:val="a4"/>
              <w:numPr>
                <w:ilvl w:val="0"/>
                <w:numId w:val="3"/>
              </w:numPr>
              <w:rPr>
                <w:rFonts w:asciiTheme="majorBidi" w:hAnsiTheme="majorBidi" w:cstheme="majorBidi"/>
              </w:rPr>
            </w:pPr>
            <w:r w:rsidRPr="00B75B13">
              <w:rPr>
                <w:rFonts w:asciiTheme="majorBidi" w:hAnsiTheme="majorBidi" w:cstheme="majorBidi"/>
              </w:rPr>
              <w:t xml:space="preserve">Measurements of albumin and protein excretion </w:t>
            </w:r>
            <w:r w:rsidR="00B75B13" w:rsidRPr="00B75B13">
              <w:rPr>
                <w:rFonts w:asciiTheme="majorBidi" w:hAnsiTheme="majorBidi" w:cstheme="majorBidi"/>
              </w:rPr>
              <w:t xml:space="preserve">and </w:t>
            </w:r>
            <w:r w:rsidR="00B75B13">
              <w:rPr>
                <w:rFonts w:asciiTheme="majorBidi" w:hAnsiTheme="majorBidi" w:cstheme="majorBidi"/>
              </w:rPr>
              <w:t>c</w:t>
            </w:r>
            <w:r w:rsidRPr="00B75B13">
              <w:rPr>
                <w:rFonts w:asciiTheme="majorBidi" w:hAnsiTheme="majorBidi" w:cstheme="majorBidi"/>
              </w:rPr>
              <w:t>linical assessment of proteinuria</w:t>
            </w:r>
            <w:r w:rsidRPr="00B75B13">
              <w:rPr>
                <w:rFonts w:asciiTheme="majorBidi" w:hAnsiTheme="majorBidi" w:cstheme="majorBidi"/>
              </w:rPr>
              <w:t xml:space="preserve"> </w:t>
            </w:r>
          </w:p>
          <w:p w:rsidR="00571290" w:rsidRPr="001E21FF" w:rsidRDefault="00571290" w:rsidP="00571290">
            <w:pPr>
              <w:rPr>
                <w:b/>
                <w:bCs/>
                <w:u w:val="single"/>
              </w:rPr>
            </w:pPr>
            <w:r w:rsidRPr="001E21FF">
              <w:rPr>
                <w:b/>
                <w:bCs/>
                <w:u w:val="single"/>
              </w:rPr>
              <w:t xml:space="preserve">Hematuria and </w:t>
            </w:r>
            <w:r w:rsidRPr="001E21FF">
              <w:rPr>
                <w:b/>
                <w:bCs/>
                <w:u w:val="single"/>
              </w:rPr>
              <w:t>Kidney stones</w:t>
            </w:r>
          </w:p>
          <w:p w:rsidR="00571290" w:rsidRDefault="004D37B5" w:rsidP="004D37B5">
            <w:pPr>
              <w:pStyle w:val="a4"/>
              <w:numPr>
                <w:ilvl w:val="0"/>
                <w:numId w:val="3"/>
              </w:numPr>
            </w:pPr>
            <w:r>
              <w:t xml:space="preserve">Know the definitions and the common etiologies of </w:t>
            </w:r>
            <w:r w:rsidR="00571290">
              <w:t xml:space="preserve"> microscopic</w:t>
            </w:r>
            <w:r>
              <w:t xml:space="preserve"> and gross</w:t>
            </w:r>
            <w:r w:rsidR="00571290">
              <w:t xml:space="preserve"> hematuria.</w:t>
            </w:r>
          </w:p>
          <w:p w:rsidR="004D37B5" w:rsidRDefault="004D37B5" w:rsidP="004D37B5">
            <w:pPr>
              <w:pStyle w:val="a4"/>
              <w:numPr>
                <w:ilvl w:val="0"/>
                <w:numId w:val="3"/>
              </w:numPr>
            </w:pPr>
            <w:r>
              <w:t>Understand why a urine dipstick positive for blood is inadequate to diagnose hematuria and why a microscopic analysis is essential.  And what are the reasons for a false negative dipstick test and a false positive dipstick test.</w:t>
            </w:r>
          </w:p>
          <w:p w:rsidR="00571290" w:rsidRDefault="004D37B5" w:rsidP="004D37B5">
            <w:pPr>
              <w:pStyle w:val="a4"/>
              <w:numPr>
                <w:ilvl w:val="0"/>
                <w:numId w:val="3"/>
              </w:numPr>
            </w:pPr>
            <w:r>
              <w:t>Know the</w:t>
            </w:r>
            <w:r w:rsidR="00571290">
              <w:t xml:space="preserve"> risk factors for urologic malignancy</w:t>
            </w:r>
            <w:r>
              <w:t xml:space="preserve"> in </w:t>
            </w:r>
            <w:r w:rsidR="00571290">
              <w:t xml:space="preserve">patients with </w:t>
            </w:r>
            <w:r w:rsidR="00571290" w:rsidRPr="004D37B5">
              <w:rPr>
                <w:bCs/>
                <w:iCs/>
              </w:rPr>
              <w:t>microscopic</w:t>
            </w:r>
            <w:r>
              <w:t xml:space="preserve"> or</w:t>
            </w:r>
            <w:r w:rsidR="00571290">
              <w:t xml:space="preserve"> </w:t>
            </w:r>
            <w:r w:rsidR="00571290" w:rsidRPr="004D37B5">
              <w:rPr>
                <w:bCs/>
                <w:iCs/>
              </w:rPr>
              <w:t xml:space="preserve">gross </w:t>
            </w:r>
            <w:r w:rsidR="00571290">
              <w:t>hematuria.</w:t>
            </w:r>
          </w:p>
          <w:p w:rsidR="004D37B5" w:rsidRPr="003F3508" w:rsidRDefault="004D37B5" w:rsidP="003F3508">
            <w:pPr>
              <w:pStyle w:val="a4"/>
              <w:numPr>
                <w:ilvl w:val="0"/>
                <w:numId w:val="3"/>
              </w:numPr>
              <w:rPr>
                <w:rFonts w:asciiTheme="majorBidi" w:hAnsiTheme="majorBidi" w:cstheme="majorBidi"/>
              </w:rPr>
            </w:pPr>
            <w:r>
              <w:t xml:space="preserve">Know </w:t>
            </w:r>
            <w:r w:rsidR="00571290">
              <w:t>the five categories of kidney stones and their prevalence. Know the clinical presentation and evaluation of the patient with suspected kidney stone, and its medical management.</w:t>
            </w:r>
            <w:r>
              <w:t xml:space="preserve"> </w:t>
            </w:r>
            <w:r w:rsidR="00571290">
              <w:t xml:space="preserve">Understand the role of the urology consultant in the management of kidney stones. </w:t>
            </w:r>
            <w:r>
              <w:t xml:space="preserve"> </w:t>
            </w:r>
          </w:p>
          <w:p w:rsidR="002B4B48" w:rsidRPr="0069494C" w:rsidRDefault="00AD04AA" w:rsidP="00AD04AA">
            <w:pPr>
              <w:rPr>
                <w:rFonts w:asciiTheme="majorBidi" w:hAnsiTheme="majorBidi" w:cstheme="majorBidi"/>
                <w:b/>
                <w:bCs/>
                <w:u w:val="single"/>
              </w:rPr>
            </w:pPr>
            <w:r w:rsidRPr="0069494C">
              <w:rPr>
                <w:rFonts w:asciiTheme="majorBidi" w:hAnsiTheme="majorBidi" w:cstheme="majorBidi"/>
                <w:b/>
                <w:bCs/>
                <w:u w:val="single"/>
              </w:rPr>
              <w:t>Acute kidney injury</w:t>
            </w:r>
          </w:p>
          <w:p w:rsidR="00AD04AA" w:rsidRPr="0069494C" w:rsidRDefault="00AD04AA" w:rsidP="00AD04AA">
            <w:pPr>
              <w:pStyle w:val="a4"/>
              <w:numPr>
                <w:ilvl w:val="0"/>
                <w:numId w:val="3"/>
              </w:numPr>
              <w:rPr>
                <w:rFonts w:asciiTheme="majorBidi" w:hAnsiTheme="majorBidi" w:cstheme="majorBidi"/>
              </w:rPr>
            </w:pPr>
            <w:r w:rsidRPr="0069494C">
              <w:rPr>
                <w:rFonts w:asciiTheme="majorBidi" w:hAnsiTheme="majorBidi" w:cstheme="majorBidi"/>
              </w:rPr>
              <w:t xml:space="preserve">Definition and classification </w:t>
            </w:r>
          </w:p>
          <w:p w:rsidR="00AD04AA" w:rsidRPr="0069494C" w:rsidRDefault="00AD04AA" w:rsidP="00AD04AA">
            <w:pPr>
              <w:pStyle w:val="a4"/>
              <w:numPr>
                <w:ilvl w:val="0"/>
                <w:numId w:val="3"/>
              </w:numPr>
              <w:rPr>
                <w:rFonts w:asciiTheme="majorBidi" w:hAnsiTheme="majorBidi" w:cstheme="majorBidi"/>
              </w:rPr>
            </w:pPr>
            <w:r w:rsidRPr="0069494C">
              <w:rPr>
                <w:rFonts w:asciiTheme="majorBidi" w:hAnsiTheme="majorBidi" w:cstheme="majorBidi"/>
              </w:rPr>
              <w:t>Etiologies</w:t>
            </w:r>
            <w:r w:rsidR="00AA5EAD" w:rsidRPr="0069494C">
              <w:rPr>
                <w:rFonts w:asciiTheme="majorBidi" w:hAnsiTheme="majorBidi" w:cstheme="majorBidi"/>
              </w:rPr>
              <w:t xml:space="preserve">:  prerenal, ATN, AIN, pigment nephropathies, Acute GN, Acute vascular syndromes, CIN, Cardio-renal, hepato-renal, tumor lysis, abdominal compartment. </w:t>
            </w:r>
          </w:p>
          <w:p w:rsidR="00AA5EAD" w:rsidRPr="0069494C" w:rsidRDefault="00AA5EAD" w:rsidP="00AD04AA">
            <w:pPr>
              <w:pStyle w:val="a4"/>
              <w:numPr>
                <w:ilvl w:val="0"/>
                <w:numId w:val="3"/>
              </w:numPr>
              <w:rPr>
                <w:rFonts w:asciiTheme="majorBidi" w:hAnsiTheme="majorBidi" w:cstheme="majorBidi"/>
              </w:rPr>
            </w:pPr>
            <w:r w:rsidRPr="0069494C">
              <w:rPr>
                <w:rFonts w:asciiTheme="majorBidi" w:hAnsiTheme="majorBidi" w:cstheme="majorBidi"/>
              </w:rPr>
              <w:t xml:space="preserve">Diagnostic </w:t>
            </w:r>
            <w:r w:rsidR="0069494C" w:rsidRPr="0069494C">
              <w:rPr>
                <w:rFonts w:asciiTheme="majorBidi" w:hAnsiTheme="majorBidi" w:cstheme="majorBidi"/>
              </w:rPr>
              <w:t xml:space="preserve">work up in evaluating a patient with AKI </w:t>
            </w:r>
          </w:p>
          <w:p w:rsidR="0069494C" w:rsidRDefault="00AA5EAD" w:rsidP="00B75B13">
            <w:pPr>
              <w:pStyle w:val="a4"/>
              <w:numPr>
                <w:ilvl w:val="0"/>
                <w:numId w:val="3"/>
              </w:numPr>
              <w:shd w:val="clear" w:color="auto" w:fill="FFFFFF"/>
              <w:rPr>
                <w:rFonts w:asciiTheme="majorBidi" w:hAnsiTheme="majorBidi" w:cstheme="majorBidi"/>
              </w:rPr>
            </w:pPr>
            <w:r w:rsidRPr="0069494C">
              <w:rPr>
                <w:rFonts w:asciiTheme="majorBidi" w:hAnsiTheme="majorBidi" w:cstheme="majorBidi"/>
              </w:rPr>
              <w:t>I</w:t>
            </w:r>
            <w:r w:rsidR="009C3372" w:rsidRPr="0069494C">
              <w:rPr>
                <w:rFonts w:asciiTheme="majorBidi" w:hAnsiTheme="majorBidi" w:cstheme="majorBidi"/>
              </w:rPr>
              <w:t>nitial management of acute kidney injury including the type of fluid recommended in prerenal states, goal MAP, indication for diuretics, appropriate medication dosing, and indications for emergent renal replacement therapy</w:t>
            </w:r>
            <w:r w:rsidR="007B1AF9">
              <w:rPr>
                <w:rFonts w:asciiTheme="majorBidi" w:hAnsiTheme="majorBidi" w:cstheme="majorBidi"/>
              </w:rPr>
              <w:t>.</w:t>
            </w:r>
          </w:p>
          <w:p w:rsidR="007B1AF9" w:rsidRPr="00B75B13" w:rsidRDefault="007B1AF9" w:rsidP="007B1AF9">
            <w:pPr>
              <w:pStyle w:val="a4"/>
              <w:shd w:val="clear" w:color="auto" w:fill="FFFFFF"/>
              <w:rPr>
                <w:rFonts w:asciiTheme="majorBidi" w:hAnsiTheme="majorBidi" w:cstheme="majorBidi"/>
              </w:rPr>
            </w:pPr>
          </w:p>
        </w:tc>
      </w:tr>
      <w:tr w:rsidR="006E14BF" w:rsidTr="006E14BF">
        <w:tc>
          <w:tcPr>
            <w:tcW w:w="1277" w:type="dxa"/>
          </w:tcPr>
          <w:p w:rsidR="00612A90" w:rsidRDefault="00612A90" w:rsidP="004F133C"/>
          <w:p w:rsidR="006E14BF" w:rsidRDefault="006E14BF" w:rsidP="004F133C"/>
          <w:p w:rsidR="006E14BF" w:rsidRDefault="006E14BF" w:rsidP="004F133C"/>
          <w:p w:rsidR="006E14BF" w:rsidRDefault="006E14BF" w:rsidP="004F133C"/>
          <w:p w:rsidR="006E14BF" w:rsidRDefault="006E14BF" w:rsidP="004F133C"/>
          <w:p w:rsidR="006E14BF" w:rsidRDefault="007B036C" w:rsidP="004F133C">
            <w:r>
              <w:pict>
                <v:shape id="_x0000_i1026" type="#_x0000_t172" style="width:57pt;height:1in" fillcolor="black">
                  <v:shadow color="#868686"/>
                  <v:textpath style="font-family:&quot;Arial Black&quot;;font-size:14pt;v-text-align:letter-justify;v-text-spacing:78650f;v-text-kern:t" trim="t" fitpath="t" string="week 2&#10;"/>
                </v:shape>
              </w:pict>
            </w:r>
          </w:p>
        </w:tc>
        <w:tc>
          <w:tcPr>
            <w:tcW w:w="9780" w:type="dxa"/>
          </w:tcPr>
          <w:p w:rsidR="00C3549F" w:rsidRPr="000E75C7" w:rsidRDefault="0027191A" w:rsidP="00C3549F">
            <w:pPr>
              <w:rPr>
                <w:b/>
                <w:bCs/>
                <w:u w:val="single"/>
              </w:rPr>
            </w:pPr>
            <w:r w:rsidRPr="000E75C7">
              <w:rPr>
                <w:b/>
                <w:bCs/>
                <w:u w:val="single"/>
              </w:rPr>
              <w:t xml:space="preserve">Hyperkalemia: </w:t>
            </w:r>
            <w:r w:rsidR="00C3549F" w:rsidRPr="000E75C7">
              <w:rPr>
                <w:b/>
                <w:bCs/>
                <w:u w:val="single"/>
              </w:rPr>
              <w:t xml:space="preserve"> </w:t>
            </w:r>
          </w:p>
          <w:p w:rsidR="00F75F0F" w:rsidRDefault="0027191A" w:rsidP="00F75F0F">
            <w:pPr>
              <w:pStyle w:val="a4"/>
              <w:numPr>
                <w:ilvl w:val="0"/>
                <w:numId w:val="3"/>
              </w:numPr>
            </w:pPr>
            <w:r>
              <w:t xml:space="preserve">Understand </w:t>
            </w:r>
            <w:r w:rsidR="00E97E39">
              <w:t xml:space="preserve"> mec</w:t>
            </w:r>
            <w:r>
              <w:t xml:space="preserve">hanisms that normally </w:t>
            </w:r>
            <w:r w:rsidR="00E97E39">
              <w:t xml:space="preserve">regulate </w:t>
            </w:r>
            <w:r>
              <w:t>body potassium.</w:t>
            </w:r>
          </w:p>
          <w:p w:rsidR="00F75F0F" w:rsidRDefault="00DE5B29" w:rsidP="00F75F0F">
            <w:pPr>
              <w:pStyle w:val="a4"/>
              <w:numPr>
                <w:ilvl w:val="0"/>
                <w:numId w:val="3"/>
              </w:numPr>
            </w:pPr>
            <w:r>
              <w:t>What are the EKG findings</w:t>
            </w:r>
            <w:r w:rsidR="00E97E39">
              <w:t xml:space="preserve"> that may be seen in hyperkalemia. </w:t>
            </w:r>
          </w:p>
          <w:p w:rsidR="00F75F0F" w:rsidRDefault="00DE5B29" w:rsidP="00F75F0F">
            <w:pPr>
              <w:pStyle w:val="a4"/>
              <w:numPr>
                <w:ilvl w:val="0"/>
                <w:numId w:val="3"/>
              </w:numPr>
            </w:pPr>
            <w:r>
              <w:t>What are the</w:t>
            </w:r>
            <w:r w:rsidR="00E97E39">
              <w:t xml:space="preserve"> common causes</w:t>
            </w:r>
            <w:r>
              <w:t xml:space="preserve"> and of  intermittent and chronic </w:t>
            </w:r>
            <w:r w:rsidR="00E97E39">
              <w:t>hyperkalemia</w:t>
            </w:r>
            <w:r>
              <w:t xml:space="preserve"> including the common mechanisms for each drug induced</w:t>
            </w:r>
            <w:r w:rsidR="00E97E39">
              <w:t xml:space="preserve">. </w:t>
            </w:r>
          </w:p>
          <w:p w:rsidR="00F75F0F" w:rsidRDefault="00F75F0F" w:rsidP="00F75F0F">
            <w:pPr>
              <w:pStyle w:val="a4"/>
              <w:numPr>
                <w:ilvl w:val="0"/>
                <w:numId w:val="3"/>
              </w:numPr>
            </w:pPr>
            <w:r>
              <w:t xml:space="preserve">Know the </w:t>
            </w:r>
            <w:r w:rsidR="00E97E39">
              <w:t>laboratory evaluation that must be obtained to wo</w:t>
            </w:r>
            <w:r w:rsidR="00DE5B29">
              <w:t xml:space="preserve">rk up the hyperkalemic patient including urine studies and trans tubular gradient. </w:t>
            </w:r>
          </w:p>
          <w:p w:rsidR="00F1357E" w:rsidRDefault="00F75F0F" w:rsidP="00B75B13">
            <w:pPr>
              <w:pStyle w:val="a4"/>
              <w:numPr>
                <w:ilvl w:val="0"/>
                <w:numId w:val="3"/>
              </w:numPr>
            </w:pPr>
            <w:r>
              <w:t xml:space="preserve">Know </w:t>
            </w:r>
            <w:r w:rsidR="00E97E39">
              <w:t>acute management of the hyperkalemic patient including steps to stabilize the myocardial membrane, shift potassium into the cells, and lower the total body potassium. Know the appropriate doses, methods of delivery, and contraindications to calcium gluconate, insulin and glucose, beta-agonists, and kayexalate.</w:t>
            </w:r>
          </w:p>
          <w:p w:rsidR="00EC46C8" w:rsidRDefault="00EC46C8" w:rsidP="00EC46C8">
            <w:pPr>
              <w:rPr>
                <w:b/>
                <w:u w:val="single"/>
              </w:rPr>
            </w:pPr>
            <w:r w:rsidRPr="00F97BA5">
              <w:rPr>
                <w:b/>
                <w:u w:val="single"/>
              </w:rPr>
              <w:t>Hyponatremia:</w:t>
            </w:r>
          </w:p>
          <w:p w:rsidR="00EC46C8" w:rsidRPr="00EF29E8" w:rsidRDefault="00EC46C8" w:rsidP="00EC46C8">
            <w:pPr>
              <w:pStyle w:val="a4"/>
              <w:numPr>
                <w:ilvl w:val="0"/>
                <w:numId w:val="3"/>
              </w:numPr>
            </w:pPr>
            <w:r w:rsidRPr="00EF29E8">
              <w:t>understand several common physiologic and pathologic conditions that cause elevated levels of vasopressin resulting in hyponatremia.</w:t>
            </w:r>
          </w:p>
          <w:p w:rsidR="00EC46C8" w:rsidRPr="00EF29E8" w:rsidRDefault="00EC46C8" w:rsidP="00EC46C8">
            <w:pPr>
              <w:pStyle w:val="a4"/>
              <w:numPr>
                <w:ilvl w:val="0"/>
                <w:numId w:val="3"/>
              </w:numPr>
            </w:pPr>
            <w:r>
              <w:t xml:space="preserve">Know the definitions of </w:t>
            </w:r>
            <w:r w:rsidRPr="00EF29E8">
              <w:t xml:space="preserve">acute </w:t>
            </w:r>
            <w:r>
              <w:t xml:space="preserve">and </w:t>
            </w:r>
            <w:r w:rsidRPr="00EF29E8">
              <w:t>symptomatic hyponatremia versus chronic hyponatremia .</w:t>
            </w:r>
          </w:p>
          <w:p w:rsidR="00EC46C8" w:rsidRPr="00EF29E8" w:rsidRDefault="00EC46C8" w:rsidP="00EC46C8">
            <w:pPr>
              <w:pStyle w:val="a4"/>
              <w:numPr>
                <w:ilvl w:val="0"/>
                <w:numId w:val="3"/>
              </w:numPr>
            </w:pPr>
            <w:r>
              <w:t xml:space="preserve">Know </w:t>
            </w:r>
            <w:r w:rsidRPr="00EF29E8">
              <w:t>the algorithm used to diagnose the cause of hyponatremia. Compare and contrast the pathophysiologic and laboratory differences in isovolemic, hypovol</w:t>
            </w:r>
            <w:r>
              <w:t>emic</w:t>
            </w:r>
            <w:r w:rsidRPr="00EF29E8">
              <w:t>, and hypervolemic</w:t>
            </w:r>
            <w:r>
              <w:t xml:space="preserve"> </w:t>
            </w:r>
            <w:r w:rsidRPr="00EF29E8">
              <w:t>hyponatremia.</w:t>
            </w:r>
          </w:p>
          <w:p w:rsidR="00E97E39" w:rsidRDefault="00EC46C8" w:rsidP="00EC46C8">
            <w:pPr>
              <w:pStyle w:val="a4"/>
              <w:numPr>
                <w:ilvl w:val="0"/>
                <w:numId w:val="3"/>
              </w:numPr>
            </w:pPr>
            <w:r>
              <w:t xml:space="preserve">Understand the </w:t>
            </w:r>
            <w:r w:rsidRPr="00EF29E8">
              <w:t>treatment for acute symptomatic hyponatremia and how it differs from chroni</w:t>
            </w:r>
            <w:r>
              <w:t>c hyponatremia including the</w:t>
            </w:r>
            <w:r w:rsidRPr="00EF29E8">
              <w:t xml:space="preserve"> neurologic consequences of mismanagement</w:t>
            </w:r>
          </w:p>
          <w:p w:rsidR="00EC46C8" w:rsidRDefault="006F3324" w:rsidP="006F3324">
            <w:pPr>
              <w:pStyle w:val="a4"/>
              <w:numPr>
                <w:ilvl w:val="0"/>
                <w:numId w:val="3"/>
              </w:numPr>
            </w:pPr>
            <w:r>
              <w:t>Understand Management of hypernatremia</w:t>
            </w:r>
          </w:p>
          <w:p w:rsidR="00F1357E" w:rsidRDefault="006F3324" w:rsidP="00B75B13">
            <w:pPr>
              <w:pStyle w:val="a4"/>
              <w:numPr>
                <w:ilvl w:val="0"/>
                <w:numId w:val="3"/>
              </w:numPr>
            </w:pPr>
            <w:r>
              <w:t>Understand the etiology, how to diagnose and treat both types of diabetes insipidus?</w:t>
            </w:r>
          </w:p>
          <w:p w:rsidR="00C3549F" w:rsidRPr="00E04DA6" w:rsidRDefault="00C3549F" w:rsidP="00C3549F">
            <w:pPr>
              <w:rPr>
                <w:b/>
                <w:bCs/>
                <w:u w:val="single"/>
              </w:rPr>
            </w:pPr>
            <w:r w:rsidRPr="00E04DA6">
              <w:rPr>
                <w:b/>
                <w:bCs/>
                <w:u w:val="single"/>
              </w:rPr>
              <w:t>Acid – base balance</w:t>
            </w:r>
          </w:p>
          <w:p w:rsidR="00E04DA6" w:rsidRDefault="00E04DA6" w:rsidP="00E04DA6">
            <w:pPr>
              <w:pStyle w:val="a4"/>
              <w:numPr>
                <w:ilvl w:val="0"/>
                <w:numId w:val="3"/>
              </w:numPr>
            </w:pPr>
            <w:r>
              <w:t xml:space="preserve">What is the diagnostic approach to evaluate Metabolic acidosis, including anion gap, delta delta gradient, winter's formula, plasma and urine osmolar gap… </w:t>
            </w:r>
          </w:p>
          <w:p w:rsidR="00E04DA6" w:rsidRDefault="00E04DA6" w:rsidP="001B747B">
            <w:pPr>
              <w:pStyle w:val="a4"/>
              <w:numPr>
                <w:ilvl w:val="0"/>
                <w:numId w:val="3"/>
              </w:numPr>
            </w:pPr>
            <w:r>
              <w:t xml:space="preserve">What are the causes of </w:t>
            </w:r>
            <w:r w:rsidR="00C3549F">
              <w:t>AGMA</w:t>
            </w:r>
            <w:r w:rsidR="001B747B">
              <w:t xml:space="preserve"> and how to manage each? </w:t>
            </w:r>
            <w:r w:rsidR="00C3549F">
              <w:t xml:space="preserve"> </w:t>
            </w:r>
          </w:p>
          <w:p w:rsidR="00C3549F" w:rsidRDefault="00E04DA6" w:rsidP="00E04DA6">
            <w:pPr>
              <w:pStyle w:val="a4"/>
              <w:numPr>
                <w:ilvl w:val="0"/>
                <w:numId w:val="3"/>
              </w:numPr>
            </w:pPr>
            <w:r>
              <w:t xml:space="preserve">What are the causes of </w:t>
            </w:r>
            <w:r w:rsidR="00C3549F">
              <w:t xml:space="preserve">NAGMA and </w:t>
            </w:r>
            <w:r>
              <w:t xml:space="preserve">how to differentiate between RTAs. </w:t>
            </w:r>
          </w:p>
          <w:p w:rsidR="00F1357E" w:rsidRDefault="00192029" w:rsidP="007B1AF9">
            <w:pPr>
              <w:pStyle w:val="a4"/>
              <w:numPr>
                <w:ilvl w:val="0"/>
                <w:numId w:val="3"/>
              </w:numPr>
            </w:pPr>
            <w:r>
              <w:t xml:space="preserve">What are </w:t>
            </w:r>
            <w:r w:rsidR="001B747B">
              <w:t xml:space="preserve">the causes and management of metabolic alkalosis? </w:t>
            </w:r>
            <w:r w:rsidR="00EC46C8" w:rsidRPr="00F1357E">
              <w:rPr>
                <w:rFonts w:ascii="Calibri" w:hAnsi="Calibri" w:cs="Calibri"/>
                <w:color w:val="000000"/>
              </w:rPr>
              <w:t xml:space="preserve"> </w:t>
            </w:r>
          </w:p>
        </w:tc>
      </w:tr>
      <w:tr w:rsidR="006E14BF" w:rsidTr="006E14BF">
        <w:tc>
          <w:tcPr>
            <w:tcW w:w="1277" w:type="dxa"/>
          </w:tcPr>
          <w:p w:rsidR="00E02EF6" w:rsidRDefault="00E02EF6" w:rsidP="004F133C"/>
          <w:p w:rsidR="00612A90" w:rsidRDefault="00612A90" w:rsidP="004F133C"/>
          <w:p w:rsidR="006E14BF" w:rsidRDefault="006E14BF" w:rsidP="004F133C"/>
          <w:p w:rsidR="006E14BF" w:rsidRDefault="006E14BF" w:rsidP="004F133C"/>
          <w:p w:rsidR="006E14BF" w:rsidRDefault="006E14BF" w:rsidP="004F133C"/>
          <w:p w:rsidR="006E14BF" w:rsidRDefault="007B036C" w:rsidP="004F133C">
            <w:r>
              <w:pict>
                <v:shape id="_x0000_i1027" type="#_x0000_t172" style="width:57pt;height:1in" fillcolor="black">
                  <v:shadow color="#868686"/>
                  <v:textpath style="font-family:&quot;Arial Black&quot;;font-size:14pt;v-text-align:letter-justify;v-text-spacing:78650f;v-text-kern:t" trim="t" fitpath="t" string="week 3"/>
                </v:shape>
              </w:pict>
            </w:r>
          </w:p>
        </w:tc>
        <w:tc>
          <w:tcPr>
            <w:tcW w:w="9780" w:type="dxa"/>
          </w:tcPr>
          <w:p w:rsidR="00F1357E" w:rsidRDefault="00F1357E" w:rsidP="00F1357E">
            <w:pPr>
              <w:rPr>
                <w:b/>
                <w:bCs/>
                <w:u w:val="single"/>
              </w:rPr>
            </w:pPr>
            <w:r w:rsidRPr="00DA73C6">
              <w:rPr>
                <w:b/>
                <w:bCs/>
                <w:u w:val="single"/>
              </w:rPr>
              <w:t>Hypertension and Hyper aldosteronism</w:t>
            </w:r>
          </w:p>
          <w:p w:rsidR="00F1357E" w:rsidRPr="00DA73C6" w:rsidRDefault="00F1357E" w:rsidP="00F1357E">
            <w:pPr>
              <w:pStyle w:val="a4"/>
              <w:numPr>
                <w:ilvl w:val="0"/>
                <w:numId w:val="3"/>
              </w:numPr>
              <w:rPr>
                <w:rFonts w:ascii="Segoe UI" w:hAnsi="Segoe UI" w:cs="Segoe UI"/>
                <w:color w:val="000000"/>
                <w:sz w:val="27"/>
                <w:szCs w:val="27"/>
              </w:rPr>
            </w:pPr>
            <w:r>
              <w:rPr>
                <w:rFonts w:ascii="Calibri" w:hAnsi="Calibri" w:cs="Calibri"/>
                <w:color w:val="000000"/>
              </w:rPr>
              <w:t xml:space="preserve">Know JNC-8 guidelines for </w:t>
            </w:r>
            <w:r w:rsidRPr="00DA73C6">
              <w:rPr>
                <w:rFonts w:ascii="Calibri" w:hAnsi="Calibri" w:cs="Calibri"/>
                <w:color w:val="000000"/>
              </w:rPr>
              <w:t xml:space="preserve">BP targets for patients aged ≥ 60 years old, &lt; 60 years old, patients with chronic kidney disease and patients with diabetes.   </w:t>
            </w:r>
          </w:p>
          <w:p w:rsidR="00F1357E" w:rsidRPr="00062354" w:rsidRDefault="00F1357E" w:rsidP="00F1357E">
            <w:pPr>
              <w:pStyle w:val="a4"/>
              <w:numPr>
                <w:ilvl w:val="0"/>
                <w:numId w:val="3"/>
              </w:numPr>
              <w:rPr>
                <w:rFonts w:ascii="Segoe UI" w:hAnsi="Segoe UI" w:cs="Segoe UI"/>
                <w:color w:val="000000"/>
                <w:sz w:val="27"/>
                <w:szCs w:val="27"/>
              </w:rPr>
            </w:pPr>
            <w:r>
              <w:rPr>
                <w:rFonts w:ascii="Calibri" w:hAnsi="Calibri" w:cs="Calibri"/>
                <w:color w:val="000000"/>
              </w:rPr>
              <w:t>Know the</w:t>
            </w:r>
            <w:r w:rsidRPr="00062354">
              <w:rPr>
                <w:rFonts w:ascii="Calibri" w:hAnsi="Calibri" w:cs="Calibri"/>
                <w:color w:val="000000"/>
              </w:rPr>
              <w:t xml:space="preserve"> first line anti-hypertensives</w:t>
            </w:r>
            <w:r>
              <w:rPr>
                <w:rFonts w:ascii="Calibri" w:hAnsi="Calibri" w:cs="Calibri"/>
                <w:color w:val="000000"/>
              </w:rPr>
              <w:t xml:space="preserve"> for non-black patients and black patients </w:t>
            </w:r>
            <w:r w:rsidRPr="00E14B75">
              <w:rPr>
                <w:rFonts w:ascii="Calibri" w:hAnsi="Calibri" w:cs="Calibri"/>
                <w:i/>
                <w:color w:val="000000"/>
              </w:rPr>
              <w:t>without</w:t>
            </w:r>
            <w:r>
              <w:rPr>
                <w:rFonts w:ascii="Calibri" w:hAnsi="Calibri" w:cs="Calibri"/>
                <w:color w:val="000000"/>
              </w:rPr>
              <w:t xml:space="preserve"> DM and CKD and </w:t>
            </w:r>
            <w:r w:rsidRPr="00E14B75">
              <w:rPr>
                <w:rFonts w:ascii="Calibri" w:hAnsi="Calibri" w:cs="Calibri"/>
                <w:i/>
                <w:color w:val="000000"/>
              </w:rPr>
              <w:t>with</w:t>
            </w:r>
            <w:r>
              <w:rPr>
                <w:rFonts w:ascii="Calibri" w:hAnsi="Calibri" w:cs="Calibri"/>
                <w:color w:val="000000"/>
              </w:rPr>
              <w:t xml:space="preserve"> DM and CKD.</w:t>
            </w:r>
          </w:p>
          <w:p w:rsidR="00F1357E" w:rsidRPr="00D65AE7" w:rsidRDefault="00F1357E" w:rsidP="00F1357E">
            <w:pPr>
              <w:pStyle w:val="a4"/>
              <w:numPr>
                <w:ilvl w:val="0"/>
                <w:numId w:val="3"/>
              </w:numPr>
              <w:rPr>
                <w:rFonts w:ascii="Segoe UI" w:hAnsi="Segoe UI" w:cs="Segoe UI"/>
                <w:color w:val="000000"/>
                <w:sz w:val="27"/>
                <w:szCs w:val="27"/>
              </w:rPr>
            </w:pPr>
            <w:r>
              <w:rPr>
                <w:rFonts w:ascii="Calibri" w:hAnsi="Calibri" w:cs="Calibri"/>
                <w:color w:val="000000"/>
              </w:rPr>
              <w:t>What is and how to manage  hypertensive urgency and emergency</w:t>
            </w:r>
            <w:r>
              <w:rPr>
                <w:rFonts w:ascii="Segoe UI" w:hAnsi="Segoe UI" w:cs="Segoe UI"/>
                <w:color w:val="000000"/>
                <w:sz w:val="27"/>
                <w:szCs w:val="27"/>
              </w:rPr>
              <w:t xml:space="preserve">? </w:t>
            </w:r>
          </w:p>
          <w:p w:rsidR="000106E7" w:rsidRPr="000106E7" w:rsidRDefault="00F1357E" w:rsidP="00F41D16">
            <w:pPr>
              <w:pStyle w:val="a4"/>
              <w:numPr>
                <w:ilvl w:val="0"/>
                <w:numId w:val="3"/>
              </w:numPr>
              <w:rPr>
                <w:b/>
                <w:u w:val="single"/>
              </w:rPr>
            </w:pPr>
            <w:r w:rsidRPr="00F1357E">
              <w:rPr>
                <w:rFonts w:ascii="Calibri" w:hAnsi="Calibri" w:cs="Calibri"/>
                <w:color w:val="000000"/>
              </w:rPr>
              <w:t>Understand the SPRINT trial and its findings.</w:t>
            </w:r>
          </w:p>
          <w:p w:rsidR="000106E7" w:rsidRPr="000106E7" w:rsidRDefault="000106E7" w:rsidP="00F41D16">
            <w:pPr>
              <w:pStyle w:val="a4"/>
              <w:numPr>
                <w:ilvl w:val="0"/>
                <w:numId w:val="3"/>
              </w:numPr>
              <w:rPr>
                <w:b/>
                <w:u w:val="single"/>
              </w:rPr>
            </w:pPr>
            <w:r>
              <w:rPr>
                <w:rFonts w:ascii="Calibri" w:hAnsi="Calibri" w:cs="Calibri"/>
                <w:color w:val="000000"/>
              </w:rPr>
              <w:t>What is a resistant hypertension and how to treat it?</w:t>
            </w:r>
          </w:p>
          <w:p w:rsidR="00834071" w:rsidRPr="00834071" w:rsidRDefault="000106E7" w:rsidP="00F41D16">
            <w:pPr>
              <w:pStyle w:val="a4"/>
              <w:numPr>
                <w:ilvl w:val="0"/>
                <w:numId w:val="3"/>
              </w:numPr>
              <w:rPr>
                <w:b/>
                <w:u w:val="single"/>
              </w:rPr>
            </w:pPr>
            <w:r>
              <w:rPr>
                <w:rFonts w:ascii="Calibri" w:hAnsi="Calibri" w:cs="Calibri"/>
                <w:color w:val="000000"/>
              </w:rPr>
              <w:t xml:space="preserve">What are the etiologies of secondary HTN and how to investigate </w:t>
            </w:r>
            <w:r w:rsidR="00F1357E" w:rsidRPr="00F1357E">
              <w:rPr>
                <w:rFonts w:ascii="Calibri" w:hAnsi="Calibri" w:cs="Calibri"/>
                <w:color w:val="000000"/>
              </w:rPr>
              <w:t xml:space="preserve"> </w:t>
            </w:r>
            <w:r>
              <w:rPr>
                <w:rFonts w:ascii="Calibri" w:hAnsi="Calibri" w:cs="Calibri"/>
                <w:color w:val="000000"/>
              </w:rPr>
              <w:t>for?</w:t>
            </w:r>
          </w:p>
          <w:p w:rsidR="000106E7" w:rsidRPr="00834071" w:rsidRDefault="00834071" w:rsidP="00834071">
            <w:pPr>
              <w:pStyle w:val="a4"/>
              <w:numPr>
                <w:ilvl w:val="0"/>
                <w:numId w:val="3"/>
              </w:numPr>
              <w:rPr>
                <w:b/>
                <w:u w:val="single"/>
              </w:rPr>
            </w:pPr>
            <w:r>
              <w:rPr>
                <w:rFonts w:ascii="Calibri" w:hAnsi="Calibri" w:cs="Calibri"/>
                <w:color w:val="000000"/>
              </w:rPr>
              <w:t xml:space="preserve">How to diagnose and treat primary hyperaldosteronism? </w:t>
            </w:r>
            <w:r w:rsidR="00F1357E" w:rsidRPr="00F1357E">
              <w:rPr>
                <w:rFonts w:ascii="Calibri" w:hAnsi="Calibri" w:cs="Calibri"/>
                <w:color w:val="000000"/>
              </w:rPr>
              <w:t xml:space="preserve"> </w:t>
            </w:r>
          </w:p>
          <w:p w:rsidR="003D555D" w:rsidRDefault="003D555D" w:rsidP="003D555D">
            <w:pPr>
              <w:rPr>
                <w:b/>
                <w:u w:val="single"/>
              </w:rPr>
            </w:pPr>
            <w:r>
              <w:rPr>
                <w:b/>
                <w:u w:val="single"/>
              </w:rPr>
              <w:t>Chronic Kidney Disease:</w:t>
            </w:r>
          </w:p>
          <w:p w:rsidR="003D555D" w:rsidRDefault="003D555D" w:rsidP="003D555D">
            <w:pPr>
              <w:pStyle w:val="a4"/>
              <w:numPr>
                <w:ilvl w:val="0"/>
                <w:numId w:val="3"/>
              </w:numPr>
            </w:pPr>
            <w:r>
              <w:t>Know the definitions for CKD and its 5 stages according to the National Kidney Foundation.</w:t>
            </w:r>
          </w:p>
          <w:p w:rsidR="003D555D" w:rsidRDefault="003D555D" w:rsidP="003D555D">
            <w:pPr>
              <w:pStyle w:val="a4"/>
              <w:numPr>
                <w:ilvl w:val="0"/>
                <w:numId w:val="3"/>
              </w:numPr>
            </w:pPr>
            <w:r>
              <w:t>Know the medications that CKD patients should avoid to prevent worsening of renal function.</w:t>
            </w:r>
          </w:p>
          <w:p w:rsidR="003D555D" w:rsidRDefault="003D555D" w:rsidP="003D555D">
            <w:pPr>
              <w:pStyle w:val="a4"/>
              <w:numPr>
                <w:ilvl w:val="0"/>
                <w:numId w:val="3"/>
              </w:numPr>
            </w:pPr>
            <w:r>
              <w:t xml:space="preserve">Know how to screen and manage CKD complications including HTN, CAD and HLD. </w:t>
            </w:r>
          </w:p>
          <w:p w:rsidR="003D555D" w:rsidRDefault="003D555D" w:rsidP="003D555D">
            <w:pPr>
              <w:pStyle w:val="a4"/>
              <w:numPr>
                <w:ilvl w:val="0"/>
                <w:numId w:val="3"/>
              </w:numPr>
            </w:pPr>
            <w:r>
              <w:t>What are the indications for lipid screening and treatment in patients with CKD.</w:t>
            </w:r>
          </w:p>
          <w:p w:rsidR="003D555D" w:rsidRDefault="003D555D" w:rsidP="003D555D">
            <w:pPr>
              <w:pStyle w:val="a4"/>
              <w:numPr>
                <w:ilvl w:val="0"/>
                <w:numId w:val="3"/>
              </w:numPr>
            </w:pPr>
            <w:r>
              <w:t>Know the indication for ACEI and ARB medications for the treatment of proteinuria and blood pressure goals for patients with CKD.</w:t>
            </w:r>
          </w:p>
          <w:p w:rsidR="00505CF4" w:rsidRDefault="00505CF4" w:rsidP="00505CF4">
            <w:pPr>
              <w:pStyle w:val="a4"/>
              <w:numPr>
                <w:ilvl w:val="0"/>
                <w:numId w:val="3"/>
              </w:numPr>
            </w:pPr>
            <w:r>
              <w:t>Understand the Calcium and Phosphorus Homeostasis and CKD induced vitamin D deficiency and secondary hyper PTH and related mineral and bone disorder including osteoporosis and osteomalacia, Renal Osteodystrophy and Vascular Calcification</w:t>
            </w:r>
          </w:p>
          <w:p w:rsidR="003D555D" w:rsidRPr="00505CF4" w:rsidRDefault="003D555D" w:rsidP="00505CF4">
            <w:pPr>
              <w:pStyle w:val="a4"/>
              <w:numPr>
                <w:ilvl w:val="0"/>
                <w:numId w:val="3"/>
              </w:numPr>
              <w:rPr>
                <w:b/>
                <w:u w:val="single"/>
              </w:rPr>
            </w:pPr>
            <w:r w:rsidRPr="00F97BA5">
              <w:t>Understand the risks of hyperphosphatemia and its management in patients with CKD</w:t>
            </w:r>
            <w:r>
              <w:t>.</w:t>
            </w:r>
          </w:p>
          <w:p w:rsidR="003D555D" w:rsidRDefault="003D555D" w:rsidP="007A095A">
            <w:pPr>
              <w:pStyle w:val="a4"/>
              <w:numPr>
                <w:ilvl w:val="0"/>
                <w:numId w:val="3"/>
              </w:numPr>
            </w:pPr>
            <w:r>
              <w:t>Know the recommendations for erythropoiesis-stimulating agents and optimal hemoglobin goals in patients with CKD as well as the risks of therapy.</w:t>
            </w:r>
          </w:p>
          <w:p w:rsidR="00BC29F8" w:rsidRDefault="00505CF4" w:rsidP="00BC29F8">
            <w:pPr>
              <w:pStyle w:val="a4"/>
              <w:numPr>
                <w:ilvl w:val="0"/>
                <w:numId w:val="3"/>
              </w:numPr>
            </w:pPr>
            <w:r>
              <w:t xml:space="preserve">Know the definition of </w:t>
            </w:r>
            <w:r w:rsidR="00E26887">
              <w:t xml:space="preserve">ESRD with basic understanding of peritoneal and hemodialysis and vascular accesses. </w:t>
            </w:r>
          </w:p>
          <w:p w:rsidR="00E26887" w:rsidRDefault="00E26887" w:rsidP="00E26887">
            <w:pPr>
              <w:pStyle w:val="a4"/>
              <w:numPr>
                <w:ilvl w:val="0"/>
                <w:numId w:val="3"/>
              </w:numPr>
            </w:pPr>
            <w:r>
              <w:t>How to care for k</w:t>
            </w:r>
            <w:r w:rsidR="00BC29F8">
              <w:t>idney transplant</w:t>
            </w:r>
            <w:r>
              <w:t xml:space="preserve"> patients including immune suppressive therapy, prophylactic antimicrobial and recommended vaccinations.</w:t>
            </w:r>
          </w:p>
          <w:p w:rsidR="00E26887" w:rsidRDefault="00E26887" w:rsidP="00E26887">
            <w:pPr>
              <w:pStyle w:val="a4"/>
              <w:numPr>
                <w:ilvl w:val="0"/>
                <w:numId w:val="3"/>
              </w:numPr>
            </w:pPr>
            <w:r>
              <w:t xml:space="preserve">Know the side effects of immune suppressive therapy. </w:t>
            </w:r>
          </w:p>
          <w:p w:rsidR="003B2BF9" w:rsidRDefault="00E26887" w:rsidP="00E26887">
            <w:pPr>
              <w:pStyle w:val="a4"/>
              <w:numPr>
                <w:ilvl w:val="0"/>
                <w:numId w:val="3"/>
              </w:numPr>
            </w:pPr>
            <w:r>
              <w:t>Acute kidney injury in transplanted patients and types of graft</w:t>
            </w:r>
            <w:r w:rsidR="00BC29F8">
              <w:t xml:space="preserve"> rejection</w:t>
            </w:r>
            <w:r>
              <w:t xml:space="preserve">. </w:t>
            </w:r>
          </w:p>
          <w:p w:rsidR="001801E9" w:rsidRDefault="00E26887" w:rsidP="00F41D16">
            <w:pPr>
              <w:pStyle w:val="a4"/>
              <w:numPr>
                <w:ilvl w:val="0"/>
                <w:numId w:val="3"/>
              </w:numPr>
            </w:pPr>
            <w:r>
              <w:t xml:space="preserve">What are the infection likely to be seen in kidney transplanted patient? </w:t>
            </w:r>
          </w:p>
          <w:p w:rsidR="007B1AF9" w:rsidRDefault="007B1AF9" w:rsidP="007B1AF9">
            <w:pPr>
              <w:pStyle w:val="a4"/>
            </w:pPr>
          </w:p>
        </w:tc>
      </w:tr>
      <w:tr w:rsidR="006E14BF" w:rsidTr="006E14BF">
        <w:tc>
          <w:tcPr>
            <w:tcW w:w="1277" w:type="dxa"/>
          </w:tcPr>
          <w:p w:rsidR="00612A90" w:rsidRDefault="00612A90" w:rsidP="004F133C"/>
          <w:p w:rsidR="006E14BF" w:rsidRDefault="006E14BF" w:rsidP="004F133C"/>
          <w:p w:rsidR="006E14BF" w:rsidRDefault="006E14BF" w:rsidP="004F133C"/>
          <w:p w:rsidR="006E14BF" w:rsidRDefault="006E14BF" w:rsidP="004F133C"/>
          <w:p w:rsidR="006E14BF" w:rsidRDefault="007B036C" w:rsidP="004F133C">
            <w:r>
              <w:pict>
                <v:shape id="_x0000_i1028" type="#_x0000_t172" style="width:57pt;height:1in" fillcolor="black">
                  <v:shadow color="#868686"/>
                  <v:textpath style="font-family:&quot;Arial Black&quot;;font-size:14pt;v-text-align:letter-justify;v-text-spacing:78650f;v-text-kern:t" trim="t" fitpath="t" string="week 4"/>
                </v:shape>
              </w:pict>
            </w:r>
          </w:p>
        </w:tc>
        <w:tc>
          <w:tcPr>
            <w:tcW w:w="9780" w:type="dxa"/>
          </w:tcPr>
          <w:p w:rsidR="003D555D" w:rsidRDefault="003D555D" w:rsidP="003D555D">
            <w:pPr>
              <w:rPr>
                <w:b/>
                <w:u w:val="single"/>
              </w:rPr>
            </w:pPr>
            <w:r>
              <w:rPr>
                <w:b/>
                <w:u w:val="single"/>
              </w:rPr>
              <w:t>Glomerular diseases with Nephritic Syndromes:</w:t>
            </w:r>
          </w:p>
          <w:p w:rsidR="00F41D16" w:rsidRDefault="00F41D16" w:rsidP="00F41D16">
            <w:pPr>
              <w:pStyle w:val="a4"/>
              <w:numPr>
                <w:ilvl w:val="0"/>
                <w:numId w:val="3"/>
              </w:numPr>
            </w:pPr>
            <w:r>
              <w:t>Understand the</w:t>
            </w:r>
            <w:r w:rsidR="003D555D">
              <w:t xml:space="preserve"> clinical manifestations of a nephritic syndrome and the urinalysis findings that should prompt an internist to think of these diagnoses.</w:t>
            </w:r>
          </w:p>
          <w:p w:rsidR="003D555D" w:rsidRDefault="00F41D16" w:rsidP="00F41D16">
            <w:pPr>
              <w:pStyle w:val="a4"/>
              <w:numPr>
                <w:ilvl w:val="0"/>
                <w:numId w:val="3"/>
              </w:numPr>
            </w:pPr>
            <w:r>
              <w:t xml:space="preserve">Know </w:t>
            </w:r>
            <w:r w:rsidR="003D555D">
              <w:t>the classic clinical presentations</w:t>
            </w:r>
            <w:r>
              <w:t xml:space="preserve"> and laboratory</w:t>
            </w:r>
            <w:r w:rsidR="003D555D">
              <w:t xml:space="preserve"> </w:t>
            </w:r>
            <w:r>
              <w:t xml:space="preserve">and kidney biopsy findings </w:t>
            </w:r>
            <w:r w:rsidR="003D555D">
              <w:t xml:space="preserve">of </w:t>
            </w:r>
            <w:r>
              <w:t>:</w:t>
            </w:r>
          </w:p>
          <w:p w:rsidR="003D555D" w:rsidRDefault="003D555D" w:rsidP="003D555D">
            <w:pPr>
              <w:pStyle w:val="a4"/>
              <w:numPr>
                <w:ilvl w:val="1"/>
                <w:numId w:val="10"/>
              </w:numPr>
            </w:pPr>
            <w:r>
              <w:t>Rapidly progressive glomerulonephritis (RPGN)</w:t>
            </w:r>
          </w:p>
          <w:p w:rsidR="003D555D" w:rsidRDefault="003D555D" w:rsidP="003D555D">
            <w:pPr>
              <w:pStyle w:val="a4"/>
              <w:numPr>
                <w:ilvl w:val="1"/>
                <w:numId w:val="10"/>
              </w:numPr>
            </w:pPr>
            <w:r>
              <w:t xml:space="preserve">Anti-glomerular basement membrane antibody disease (Goodpasture’s) </w:t>
            </w:r>
          </w:p>
          <w:p w:rsidR="003D555D" w:rsidRDefault="003D555D" w:rsidP="003D555D">
            <w:pPr>
              <w:pStyle w:val="a4"/>
              <w:numPr>
                <w:ilvl w:val="1"/>
                <w:numId w:val="10"/>
              </w:numPr>
            </w:pPr>
            <w:r>
              <w:t>Pauci-Immune glomerulonephritis (ANCA positive)</w:t>
            </w:r>
          </w:p>
          <w:p w:rsidR="007B1AF9" w:rsidRPr="00CB4174" w:rsidRDefault="003D555D" w:rsidP="00834071">
            <w:pPr>
              <w:pStyle w:val="a4"/>
              <w:numPr>
                <w:ilvl w:val="1"/>
                <w:numId w:val="10"/>
              </w:numPr>
            </w:pPr>
            <w:r>
              <w:t>Immune complex-mediated glomerulonephritides (IgA nephropathy, Lupus, Post-Strep, Membranoproliferative GN, and Cryoglobulinemia.)</w:t>
            </w:r>
          </w:p>
          <w:p w:rsidR="003D555D" w:rsidRDefault="003D555D" w:rsidP="003D555D">
            <w:pPr>
              <w:rPr>
                <w:b/>
                <w:u w:val="single"/>
              </w:rPr>
            </w:pPr>
            <w:r>
              <w:rPr>
                <w:b/>
                <w:u w:val="single"/>
              </w:rPr>
              <w:t>Proteinuria/Nephrotic Syndrome:</w:t>
            </w:r>
          </w:p>
          <w:p w:rsidR="003D555D" w:rsidRDefault="003D555D" w:rsidP="00BE6449">
            <w:pPr>
              <w:pStyle w:val="a4"/>
              <w:numPr>
                <w:ilvl w:val="0"/>
                <w:numId w:val="3"/>
              </w:numPr>
            </w:pPr>
            <w:r>
              <w:t>Know the normal limits of proteinuria and albuminuria in a 24 hour urine collection. Define nephrotic syndrome.</w:t>
            </w:r>
          </w:p>
          <w:p w:rsidR="003D555D" w:rsidRDefault="003D555D" w:rsidP="00044D98">
            <w:pPr>
              <w:pStyle w:val="a4"/>
              <w:numPr>
                <w:ilvl w:val="0"/>
                <w:numId w:val="3"/>
              </w:numPr>
            </w:pPr>
            <w:r>
              <w:t xml:space="preserve">Know </w:t>
            </w:r>
            <w:r w:rsidR="00044D98">
              <w:t xml:space="preserve"> the limitations of </w:t>
            </w:r>
            <w:r>
              <w:t xml:space="preserve"> a dipstick test </w:t>
            </w:r>
            <w:r w:rsidR="00044D98">
              <w:t xml:space="preserve">to diagnose </w:t>
            </w:r>
            <w:r>
              <w:t>proteinuria and</w:t>
            </w:r>
            <w:r w:rsidR="00044D98">
              <w:t xml:space="preserve"> the</w:t>
            </w:r>
            <w:r>
              <w:t xml:space="preserve"> </w:t>
            </w:r>
            <w:r w:rsidR="00044D98">
              <w:t>role of</w:t>
            </w:r>
            <w:r>
              <w:t xml:space="preserve"> spot urine sampling for protein/creatinine ratio and albumin/creatinine ratio. </w:t>
            </w:r>
          </w:p>
          <w:p w:rsidR="00044D98" w:rsidRDefault="00044D98" w:rsidP="00044D98">
            <w:pPr>
              <w:pStyle w:val="a4"/>
              <w:numPr>
                <w:ilvl w:val="0"/>
                <w:numId w:val="3"/>
              </w:numPr>
            </w:pPr>
            <w:r>
              <w:t xml:space="preserve">Understand differential diagnosis of diseases that cause nephrotic range proteinuria and how to diagnose and manage each of them. </w:t>
            </w:r>
          </w:p>
          <w:p w:rsidR="00451A7A" w:rsidRDefault="00451A7A" w:rsidP="00044D98">
            <w:pPr>
              <w:ind w:left="360"/>
            </w:pPr>
          </w:p>
        </w:tc>
      </w:tr>
      <w:tr w:rsidR="00137E89" w:rsidTr="006E14BF">
        <w:tc>
          <w:tcPr>
            <w:tcW w:w="1277" w:type="dxa"/>
          </w:tcPr>
          <w:p w:rsidR="00137E89" w:rsidRDefault="00137E89" w:rsidP="004F133C"/>
        </w:tc>
        <w:tc>
          <w:tcPr>
            <w:tcW w:w="9780" w:type="dxa"/>
          </w:tcPr>
          <w:p w:rsidR="00044D98" w:rsidRDefault="00044D98" w:rsidP="00044D98">
            <w:r>
              <w:t xml:space="preserve">During this rotation, a resident is expected to: </w:t>
            </w:r>
          </w:p>
          <w:p w:rsidR="00137E89" w:rsidRDefault="007D1438" w:rsidP="00D63A08">
            <w:pPr>
              <w:pStyle w:val="a4"/>
              <w:numPr>
                <w:ilvl w:val="0"/>
                <w:numId w:val="1"/>
              </w:numPr>
            </w:pPr>
            <w:r>
              <w:rPr>
                <w:lang w:bidi="ar-IQ"/>
              </w:rPr>
              <w:t xml:space="preserve">Appropriately orders and interprets the results of uninalysis, renal ultrasound, </w:t>
            </w:r>
            <w:r w:rsidR="00D63A08">
              <w:rPr>
                <w:lang w:bidi="ar-IQ"/>
              </w:rPr>
              <w:t xml:space="preserve">and </w:t>
            </w:r>
            <w:r>
              <w:rPr>
                <w:lang w:bidi="ar-IQ"/>
              </w:rPr>
              <w:t xml:space="preserve">CT scan </w:t>
            </w:r>
          </w:p>
          <w:p w:rsidR="007D1438" w:rsidRDefault="007D1438" w:rsidP="00044D98">
            <w:pPr>
              <w:pStyle w:val="a4"/>
              <w:numPr>
                <w:ilvl w:val="0"/>
                <w:numId w:val="1"/>
              </w:numPr>
            </w:pPr>
            <w:r>
              <w:rPr>
                <w:lang w:bidi="ar-IQ"/>
              </w:rPr>
              <w:t>Demonstrates familiarity with common diagnostic &amp; therapeutic procedures used in nephrology including post void residual, renal biopsy and fistulogram.</w:t>
            </w:r>
          </w:p>
        </w:tc>
      </w:tr>
    </w:tbl>
    <w:p w:rsidR="007026B9" w:rsidRDefault="007026B9" w:rsidP="00D63A08">
      <w:pPr>
        <w:rPr>
          <w:lang w:bidi="ar-IQ"/>
        </w:rPr>
      </w:pPr>
    </w:p>
    <w:sectPr w:rsidR="007026B9" w:rsidSect="00E02EF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B8F" w:rsidRDefault="00ED6B8F" w:rsidP="00612A90">
      <w:r>
        <w:separator/>
      </w:r>
    </w:p>
  </w:endnote>
  <w:endnote w:type="continuationSeparator" w:id="1">
    <w:p w:rsidR="00ED6B8F" w:rsidRDefault="00ED6B8F" w:rsidP="00612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B8F" w:rsidRDefault="00ED6B8F" w:rsidP="00612A90">
      <w:r>
        <w:separator/>
      </w:r>
    </w:p>
  </w:footnote>
  <w:footnote w:type="continuationSeparator" w:id="1">
    <w:p w:rsidR="00ED6B8F" w:rsidRDefault="00ED6B8F" w:rsidP="00612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82C"/>
    <w:multiLevelType w:val="hybridMultilevel"/>
    <w:tmpl w:val="745C664E"/>
    <w:lvl w:ilvl="0" w:tplc="16121A4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64945"/>
    <w:multiLevelType w:val="hybridMultilevel"/>
    <w:tmpl w:val="6EE6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61931"/>
    <w:multiLevelType w:val="hybridMultilevel"/>
    <w:tmpl w:val="1E92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8423C"/>
    <w:multiLevelType w:val="hybridMultilevel"/>
    <w:tmpl w:val="EDA2E766"/>
    <w:lvl w:ilvl="0" w:tplc="68586B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83481"/>
    <w:multiLevelType w:val="hybridMultilevel"/>
    <w:tmpl w:val="177EB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16D3B"/>
    <w:multiLevelType w:val="hybridMultilevel"/>
    <w:tmpl w:val="2D7656CA"/>
    <w:lvl w:ilvl="0" w:tplc="AF6C53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A35BD"/>
    <w:multiLevelType w:val="hybridMultilevel"/>
    <w:tmpl w:val="7E62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127EC0"/>
    <w:multiLevelType w:val="hybridMultilevel"/>
    <w:tmpl w:val="DB4A3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A2A01E0"/>
    <w:multiLevelType w:val="hybridMultilevel"/>
    <w:tmpl w:val="F91EBBE2"/>
    <w:lvl w:ilvl="0" w:tplc="9B3E43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3774A"/>
    <w:multiLevelType w:val="hybridMultilevel"/>
    <w:tmpl w:val="2E86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66C2C"/>
    <w:rsid w:val="000106E7"/>
    <w:rsid w:val="00044D98"/>
    <w:rsid w:val="00066660"/>
    <w:rsid w:val="00066C2C"/>
    <w:rsid w:val="000E75C7"/>
    <w:rsid w:val="00137E89"/>
    <w:rsid w:val="0015148D"/>
    <w:rsid w:val="001801E9"/>
    <w:rsid w:val="00192029"/>
    <w:rsid w:val="001B747B"/>
    <w:rsid w:val="001C540F"/>
    <w:rsid w:val="001E21FF"/>
    <w:rsid w:val="0027191A"/>
    <w:rsid w:val="002B4B48"/>
    <w:rsid w:val="00307381"/>
    <w:rsid w:val="003901F3"/>
    <w:rsid w:val="003B2BF9"/>
    <w:rsid w:val="003D555D"/>
    <w:rsid w:val="003F3508"/>
    <w:rsid w:val="0040521C"/>
    <w:rsid w:val="00451A7A"/>
    <w:rsid w:val="004D37B5"/>
    <w:rsid w:val="00505CF4"/>
    <w:rsid w:val="00571290"/>
    <w:rsid w:val="00612A90"/>
    <w:rsid w:val="006929BE"/>
    <w:rsid w:val="0069494C"/>
    <w:rsid w:val="006E14BF"/>
    <w:rsid w:val="006F3324"/>
    <w:rsid w:val="007026B9"/>
    <w:rsid w:val="00762523"/>
    <w:rsid w:val="007A095A"/>
    <w:rsid w:val="007B036C"/>
    <w:rsid w:val="007B1AF9"/>
    <w:rsid w:val="007D0E4B"/>
    <w:rsid w:val="007D1438"/>
    <w:rsid w:val="00834071"/>
    <w:rsid w:val="008911EF"/>
    <w:rsid w:val="00915E02"/>
    <w:rsid w:val="00970E5F"/>
    <w:rsid w:val="009C3372"/>
    <w:rsid w:val="00A135F6"/>
    <w:rsid w:val="00A6321E"/>
    <w:rsid w:val="00AA5EAD"/>
    <w:rsid w:val="00AB7C91"/>
    <w:rsid w:val="00AD04AA"/>
    <w:rsid w:val="00AE4BC8"/>
    <w:rsid w:val="00AE6054"/>
    <w:rsid w:val="00B75B13"/>
    <w:rsid w:val="00BC29F8"/>
    <w:rsid w:val="00BE6449"/>
    <w:rsid w:val="00BF475B"/>
    <w:rsid w:val="00C30241"/>
    <w:rsid w:val="00C3549F"/>
    <w:rsid w:val="00C41897"/>
    <w:rsid w:val="00C671B4"/>
    <w:rsid w:val="00D63A08"/>
    <w:rsid w:val="00DA73C6"/>
    <w:rsid w:val="00DE5B29"/>
    <w:rsid w:val="00E02EF6"/>
    <w:rsid w:val="00E04DA6"/>
    <w:rsid w:val="00E26887"/>
    <w:rsid w:val="00E97E39"/>
    <w:rsid w:val="00EB4820"/>
    <w:rsid w:val="00EC46C8"/>
    <w:rsid w:val="00ED6B8F"/>
    <w:rsid w:val="00F1357E"/>
    <w:rsid w:val="00F41D16"/>
    <w:rsid w:val="00F75F0F"/>
    <w:rsid w:val="00F96A3A"/>
    <w:rsid w:val="00FA5640"/>
    <w:rsid w:val="00FA73DE"/>
    <w:rsid w:val="00FC12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9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2A90"/>
    <w:pPr>
      <w:ind w:left="720"/>
      <w:contextualSpacing/>
    </w:pPr>
  </w:style>
</w:styles>
</file>

<file path=word/webSettings.xml><?xml version="1.0" encoding="utf-8"?>
<w:webSettings xmlns:r="http://schemas.openxmlformats.org/officeDocument/2006/relationships" xmlns:w="http://schemas.openxmlformats.org/wordprocessingml/2006/main">
  <w:divs>
    <w:div w:id="1879001001">
      <w:bodyDiv w:val="1"/>
      <w:marLeft w:val="0"/>
      <w:marRight w:val="0"/>
      <w:marTop w:val="0"/>
      <w:marBottom w:val="0"/>
      <w:divBdr>
        <w:top w:val="none" w:sz="0" w:space="0" w:color="auto"/>
        <w:left w:val="none" w:sz="0" w:space="0" w:color="auto"/>
        <w:bottom w:val="none" w:sz="0" w:space="0" w:color="auto"/>
        <w:right w:val="none" w:sz="0" w:space="0" w:color="auto"/>
      </w:divBdr>
      <w:divsChild>
        <w:div w:id="1526558316">
          <w:marLeft w:val="0"/>
          <w:marRight w:val="0"/>
          <w:marTop w:val="0"/>
          <w:marBottom w:val="0"/>
          <w:divBdr>
            <w:top w:val="none" w:sz="0" w:space="0" w:color="auto"/>
            <w:left w:val="none" w:sz="0" w:space="0" w:color="auto"/>
            <w:bottom w:val="none" w:sz="0" w:space="0" w:color="auto"/>
            <w:right w:val="none" w:sz="0" w:space="0" w:color="auto"/>
          </w:divBdr>
        </w:div>
        <w:div w:id="1320888355">
          <w:marLeft w:val="0"/>
          <w:marRight w:val="0"/>
          <w:marTop w:val="0"/>
          <w:marBottom w:val="0"/>
          <w:divBdr>
            <w:top w:val="none" w:sz="0" w:space="0" w:color="auto"/>
            <w:left w:val="none" w:sz="0" w:space="0" w:color="auto"/>
            <w:bottom w:val="none" w:sz="0" w:space="0" w:color="auto"/>
            <w:right w:val="none" w:sz="0" w:space="0" w:color="auto"/>
          </w:divBdr>
        </w:div>
        <w:div w:id="1830902742">
          <w:marLeft w:val="0"/>
          <w:marRight w:val="0"/>
          <w:marTop w:val="0"/>
          <w:marBottom w:val="0"/>
          <w:divBdr>
            <w:top w:val="none" w:sz="0" w:space="0" w:color="auto"/>
            <w:left w:val="none" w:sz="0" w:space="0" w:color="auto"/>
            <w:bottom w:val="none" w:sz="0" w:space="0" w:color="auto"/>
            <w:right w:val="none" w:sz="0" w:space="0" w:color="auto"/>
          </w:divBdr>
        </w:div>
        <w:div w:id="1258708424">
          <w:marLeft w:val="0"/>
          <w:marRight w:val="0"/>
          <w:marTop w:val="0"/>
          <w:marBottom w:val="0"/>
          <w:divBdr>
            <w:top w:val="none" w:sz="0" w:space="0" w:color="auto"/>
            <w:left w:val="none" w:sz="0" w:space="0" w:color="auto"/>
            <w:bottom w:val="none" w:sz="0" w:space="0" w:color="auto"/>
            <w:right w:val="none" w:sz="0" w:space="0" w:color="auto"/>
          </w:divBdr>
        </w:div>
        <w:div w:id="1798330578">
          <w:marLeft w:val="0"/>
          <w:marRight w:val="0"/>
          <w:marTop w:val="0"/>
          <w:marBottom w:val="0"/>
          <w:divBdr>
            <w:top w:val="none" w:sz="0" w:space="0" w:color="auto"/>
            <w:left w:val="none" w:sz="0" w:space="0" w:color="auto"/>
            <w:bottom w:val="none" w:sz="0" w:space="0" w:color="auto"/>
            <w:right w:val="none" w:sz="0" w:space="0" w:color="auto"/>
          </w:divBdr>
        </w:div>
        <w:div w:id="67121486">
          <w:marLeft w:val="0"/>
          <w:marRight w:val="0"/>
          <w:marTop w:val="0"/>
          <w:marBottom w:val="0"/>
          <w:divBdr>
            <w:top w:val="none" w:sz="0" w:space="0" w:color="auto"/>
            <w:left w:val="none" w:sz="0" w:space="0" w:color="auto"/>
            <w:bottom w:val="none" w:sz="0" w:space="0" w:color="auto"/>
            <w:right w:val="none" w:sz="0" w:space="0" w:color="auto"/>
          </w:divBdr>
        </w:div>
        <w:div w:id="548762170">
          <w:marLeft w:val="0"/>
          <w:marRight w:val="0"/>
          <w:marTop w:val="0"/>
          <w:marBottom w:val="0"/>
          <w:divBdr>
            <w:top w:val="none" w:sz="0" w:space="0" w:color="auto"/>
            <w:left w:val="none" w:sz="0" w:space="0" w:color="auto"/>
            <w:bottom w:val="none" w:sz="0" w:space="0" w:color="auto"/>
            <w:right w:val="none" w:sz="0" w:space="0" w:color="auto"/>
          </w:divBdr>
        </w:div>
        <w:div w:id="868762120">
          <w:marLeft w:val="0"/>
          <w:marRight w:val="0"/>
          <w:marTop w:val="0"/>
          <w:marBottom w:val="0"/>
          <w:divBdr>
            <w:top w:val="none" w:sz="0" w:space="0" w:color="auto"/>
            <w:left w:val="none" w:sz="0" w:space="0" w:color="auto"/>
            <w:bottom w:val="none" w:sz="0" w:space="0" w:color="auto"/>
            <w:right w:val="none" w:sz="0" w:space="0" w:color="auto"/>
          </w:divBdr>
        </w:div>
        <w:div w:id="1345664286">
          <w:marLeft w:val="0"/>
          <w:marRight w:val="0"/>
          <w:marTop w:val="0"/>
          <w:marBottom w:val="0"/>
          <w:divBdr>
            <w:top w:val="none" w:sz="0" w:space="0" w:color="auto"/>
            <w:left w:val="none" w:sz="0" w:space="0" w:color="auto"/>
            <w:bottom w:val="none" w:sz="0" w:space="0" w:color="auto"/>
            <w:right w:val="none" w:sz="0" w:space="0" w:color="auto"/>
          </w:divBdr>
        </w:div>
        <w:div w:id="1409616658">
          <w:marLeft w:val="0"/>
          <w:marRight w:val="0"/>
          <w:marTop w:val="0"/>
          <w:marBottom w:val="0"/>
          <w:divBdr>
            <w:top w:val="none" w:sz="0" w:space="0" w:color="auto"/>
            <w:left w:val="none" w:sz="0" w:space="0" w:color="auto"/>
            <w:bottom w:val="none" w:sz="0" w:space="0" w:color="auto"/>
            <w:right w:val="none" w:sz="0" w:space="0" w:color="auto"/>
          </w:divBdr>
        </w:div>
        <w:div w:id="1230113855">
          <w:marLeft w:val="0"/>
          <w:marRight w:val="0"/>
          <w:marTop w:val="0"/>
          <w:marBottom w:val="0"/>
          <w:divBdr>
            <w:top w:val="none" w:sz="0" w:space="0" w:color="auto"/>
            <w:left w:val="none" w:sz="0" w:space="0" w:color="auto"/>
            <w:bottom w:val="none" w:sz="0" w:space="0" w:color="auto"/>
            <w:right w:val="none" w:sz="0" w:space="0" w:color="auto"/>
          </w:divBdr>
        </w:div>
        <w:div w:id="1645893192">
          <w:marLeft w:val="0"/>
          <w:marRight w:val="0"/>
          <w:marTop w:val="0"/>
          <w:marBottom w:val="0"/>
          <w:divBdr>
            <w:top w:val="none" w:sz="0" w:space="0" w:color="auto"/>
            <w:left w:val="none" w:sz="0" w:space="0" w:color="auto"/>
            <w:bottom w:val="none" w:sz="0" w:space="0" w:color="auto"/>
            <w:right w:val="none" w:sz="0" w:space="0" w:color="auto"/>
          </w:divBdr>
        </w:div>
        <w:div w:id="870647441">
          <w:marLeft w:val="0"/>
          <w:marRight w:val="0"/>
          <w:marTop w:val="0"/>
          <w:marBottom w:val="0"/>
          <w:divBdr>
            <w:top w:val="none" w:sz="0" w:space="0" w:color="auto"/>
            <w:left w:val="none" w:sz="0" w:space="0" w:color="auto"/>
            <w:bottom w:val="none" w:sz="0" w:space="0" w:color="auto"/>
            <w:right w:val="none" w:sz="0" w:space="0" w:color="auto"/>
          </w:divBdr>
        </w:div>
        <w:div w:id="8794123">
          <w:marLeft w:val="0"/>
          <w:marRight w:val="0"/>
          <w:marTop w:val="0"/>
          <w:marBottom w:val="0"/>
          <w:divBdr>
            <w:top w:val="none" w:sz="0" w:space="0" w:color="auto"/>
            <w:left w:val="none" w:sz="0" w:space="0" w:color="auto"/>
            <w:bottom w:val="none" w:sz="0" w:space="0" w:color="auto"/>
            <w:right w:val="none" w:sz="0" w:space="0" w:color="auto"/>
          </w:divBdr>
        </w:div>
        <w:div w:id="1009478941">
          <w:marLeft w:val="0"/>
          <w:marRight w:val="0"/>
          <w:marTop w:val="0"/>
          <w:marBottom w:val="0"/>
          <w:divBdr>
            <w:top w:val="none" w:sz="0" w:space="0" w:color="auto"/>
            <w:left w:val="none" w:sz="0" w:space="0" w:color="auto"/>
            <w:bottom w:val="none" w:sz="0" w:space="0" w:color="auto"/>
            <w:right w:val="none" w:sz="0" w:space="0" w:color="auto"/>
          </w:divBdr>
        </w:div>
        <w:div w:id="181893576">
          <w:marLeft w:val="0"/>
          <w:marRight w:val="0"/>
          <w:marTop w:val="0"/>
          <w:marBottom w:val="0"/>
          <w:divBdr>
            <w:top w:val="none" w:sz="0" w:space="0" w:color="auto"/>
            <w:left w:val="none" w:sz="0" w:space="0" w:color="auto"/>
            <w:bottom w:val="none" w:sz="0" w:space="0" w:color="auto"/>
            <w:right w:val="none" w:sz="0" w:space="0" w:color="auto"/>
          </w:divBdr>
        </w:div>
        <w:div w:id="338897562">
          <w:marLeft w:val="0"/>
          <w:marRight w:val="0"/>
          <w:marTop w:val="0"/>
          <w:marBottom w:val="0"/>
          <w:divBdr>
            <w:top w:val="none" w:sz="0" w:space="0" w:color="auto"/>
            <w:left w:val="none" w:sz="0" w:space="0" w:color="auto"/>
            <w:bottom w:val="none" w:sz="0" w:space="0" w:color="auto"/>
            <w:right w:val="none" w:sz="0" w:space="0" w:color="auto"/>
          </w:divBdr>
        </w:div>
        <w:div w:id="1962958534">
          <w:marLeft w:val="0"/>
          <w:marRight w:val="0"/>
          <w:marTop w:val="0"/>
          <w:marBottom w:val="0"/>
          <w:divBdr>
            <w:top w:val="none" w:sz="0" w:space="0" w:color="auto"/>
            <w:left w:val="none" w:sz="0" w:space="0" w:color="auto"/>
            <w:bottom w:val="none" w:sz="0" w:space="0" w:color="auto"/>
            <w:right w:val="none" w:sz="0" w:space="0" w:color="auto"/>
          </w:divBdr>
        </w:div>
        <w:div w:id="1886719067">
          <w:marLeft w:val="0"/>
          <w:marRight w:val="0"/>
          <w:marTop w:val="0"/>
          <w:marBottom w:val="0"/>
          <w:divBdr>
            <w:top w:val="none" w:sz="0" w:space="0" w:color="auto"/>
            <w:left w:val="none" w:sz="0" w:space="0" w:color="auto"/>
            <w:bottom w:val="none" w:sz="0" w:space="0" w:color="auto"/>
            <w:right w:val="none" w:sz="0" w:space="0" w:color="auto"/>
          </w:divBdr>
        </w:div>
        <w:div w:id="205233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3</Pages>
  <Words>985</Words>
  <Characters>5619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66</cp:revision>
  <dcterms:created xsi:type="dcterms:W3CDTF">2016-08-30T04:45:00Z</dcterms:created>
  <dcterms:modified xsi:type="dcterms:W3CDTF">2016-09-06T05:24:00Z</dcterms:modified>
</cp:coreProperties>
</file>