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48E6" w14:textId="2555E557" w:rsidR="00047796" w:rsidRDefault="008A56E6" w:rsidP="008A56E6">
      <w:pPr>
        <w:jc w:val="center"/>
        <w:rPr>
          <w:b/>
          <w:bCs/>
          <w:u w:val="single"/>
        </w:rPr>
      </w:pPr>
      <w:r w:rsidRPr="008A56E6">
        <w:rPr>
          <w:b/>
          <w:bCs/>
          <w:u w:val="single"/>
        </w:rPr>
        <w:t>Questions</w:t>
      </w:r>
      <w:r w:rsidR="001B102C">
        <w:rPr>
          <w:b/>
          <w:bCs/>
          <w:u w:val="single"/>
        </w:rPr>
        <w:t xml:space="preserve"> 1-6</w:t>
      </w:r>
      <w:r w:rsidRPr="008A56E6">
        <w:rPr>
          <w:b/>
          <w:bCs/>
          <w:u w:val="single"/>
        </w:rPr>
        <w:t xml:space="preserve"> for AHD September 5, 2023</w:t>
      </w:r>
    </w:p>
    <w:p w14:paraId="2280DA43" w14:textId="77777777" w:rsidR="001B102C" w:rsidRDefault="001B102C" w:rsidP="008A56E6">
      <w:pPr>
        <w:jc w:val="center"/>
        <w:rPr>
          <w:b/>
          <w:bCs/>
          <w:u w:val="single"/>
        </w:rPr>
      </w:pPr>
    </w:p>
    <w:p w14:paraId="54065599" w14:textId="6CDC4D81" w:rsidR="008A56E6" w:rsidRDefault="001B102C" w:rsidP="008A56E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(1-3) Make sure you know the correct answers to the questions from last week and can reason through the wrong answers!</w:t>
      </w:r>
    </w:p>
    <w:p w14:paraId="270AECCE" w14:textId="77777777" w:rsidR="008A56E6" w:rsidRPr="008A56E6" w:rsidRDefault="008A56E6" w:rsidP="008A56E6">
      <w:pPr>
        <w:pStyle w:val="ListParagraph"/>
        <w:numPr>
          <w:ilvl w:val="0"/>
          <w:numId w:val="1"/>
        </w:numPr>
        <w:rPr>
          <w:rFonts w:cstheme="minorHAnsi"/>
          <w:sz w:val="18"/>
          <w:szCs w:val="18"/>
        </w:rPr>
      </w:pP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t>A 78-year-old man was hospitalized 2 days ago for management of lower back pain that has been worsening over the past 4 weeks and remained uncontrolled with oral pain medications. He reports no radicular symptoms, weakness, or bladder or bowel incontinence. Medical history is notable for benign prostatic hyperplasia treated with tamsulosin.</w:t>
      </w:r>
      <w:r w:rsidRPr="008A56E6">
        <w:rPr>
          <w:rFonts w:cstheme="minorHAnsi"/>
          <w:color w:val="323130"/>
          <w:sz w:val="18"/>
          <w:szCs w:val="18"/>
        </w:rPr>
        <w:br/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  <w:t>On physical examination, the patient appears in distress from pain. Temperature is 37.9 °C (100.2 °F), blood pressure is 155/85 mm Hg, pulse rate is 82/min, and respiration rate is 18/min. Tenderness to palpation is elicited over the lower lumbar spine. Lower extremity strength is normal, with intact sensation and normal reflexes.</w:t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  <w:t>Laboratory studies show a hemoglobin level of 12.2 g/dL (122 g/L) and leukocyte count of 15,600/µL (15.6 × 109/L).</w:t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  <w:t>MRI with contrast reveals evidence of L3-L4 discitis with osteomyelitis involving the contiguous vertebral body end plates at L3 and L4, without evidence of epidural abscess.</w:t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cstheme="minorHAnsi"/>
          <w:color w:val="323130"/>
          <w:sz w:val="18"/>
          <w:szCs w:val="18"/>
          <w:shd w:val="clear" w:color="auto" w:fill="FFFFFF"/>
        </w:rPr>
        <w:br/>
        <w:t>Blood and urine cultures are negative at 48 hours.</w:t>
      </w:r>
      <w:r w:rsidRPr="008A56E6">
        <w:rPr>
          <w:rFonts w:cstheme="minorHAnsi"/>
          <w:color w:val="323130"/>
          <w:sz w:val="18"/>
          <w:szCs w:val="18"/>
        </w:rPr>
        <w:br/>
      </w:r>
      <w:r w:rsidRPr="008A56E6">
        <w:rPr>
          <w:rFonts w:cstheme="minorHAnsi"/>
          <w:b/>
          <w:bCs/>
          <w:color w:val="323130"/>
          <w:sz w:val="18"/>
          <w:szCs w:val="18"/>
          <w:shd w:val="clear" w:color="auto" w:fill="FFFFFF"/>
        </w:rPr>
        <w:br/>
        <w:t>Which of the following is the most appropriate management?</w:t>
      </w:r>
    </w:p>
    <w:p w14:paraId="39EAA1ED" w14:textId="77777777" w:rsidR="008A56E6" w:rsidRDefault="008A56E6" w:rsidP="008A56E6">
      <w:pPr>
        <w:ind w:firstLine="720"/>
        <w:rPr>
          <w:rFonts w:cstheme="minorHAnsi"/>
          <w:sz w:val="18"/>
          <w:szCs w:val="18"/>
        </w:rPr>
      </w:pPr>
    </w:p>
    <w:p w14:paraId="28765882" w14:textId="4DBF3544" w:rsidR="008A56E6" w:rsidRPr="008A56E6" w:rsidRDefault="008A56E6" w:rsidP="008A56E6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 w:rsidRPr="008A56E6">
        <w:rPr>
          <w:rFonts w:cstheme="minorHAnsi"/>
          <w:sz w:val="18"/>
          <w:szCs w:val="18"/>
        </w:rPr>
        <w:t>Disk space aspiration and biopsy</w:t>
      </w:r>
    </w:p>
    <w:p w14:paraId="28011CEB" w14:textId="4AE7BE73" w:rsidR="008A56E6" w:rsidRDefault="008A56E6" w:rsidP="008A56E6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Open bone biopsy</w:t>
      </w:r>
    </w:p>
    <w:p w14:paraId="16C61E6D" w14:textId="60979D7B" w:rsidR="008A56E6" w:rsidRDefault="008A56E6" w:rsidP="008A56E6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Vancomycin</w:t>
      </w:r>
    </w:p>
    <w:p w14:paraId="06297070" w14:textId="518701D8" w:rsidR="008A56E6" w:rsidRPr="008A56E6" w:rsidRDefault="008A56E6" w:rsidP="008A56E6">
      <w:pPr>
        <w:pStyle w:val="ListParagraph"/>
        <w:numPr>
          <w:ilvl w:val="0"/>
          <w:numId w:val="2"/>
        </w:num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Vancomycin and ceftriaxone</w:t>
      </w:r>
    </w:p>
    <w:p w14:paraId="39B4116A" w14:textId="77777777" w:rsidR="008A56E6" w:rsidRDefault="008A56E6" w:rsidP="008A56E6">
      <w:pPr>
        <w:rPr>
          <w:rFonts w:cstheme="minorHAnsi"/>
          <w:color w:val="323130"/>
          <w:sz w:val="18"/>
          <w:szCs w:val="18"/>
          <w:shd w:val="clear" w:color="auto" w:fill="FFFFFF"/>
        </w:rPr>
      </w:pPr>
    </w:p>
    <w:p w14:paraId="6932A02F" w14:textId="77777777" w:rsidR="008A56E6" w:rsidRPr="008A56E6" w:rsidRDefault="008A56E6" w:rsidP="008A56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A 42-year-old woman is evaluated for a 3-week history of increasing pain in the left heel. She sustained a puncture wound from a nail 10 weeks ago. She was evaluated promptly and given a tetanus immunization; a plain radiograph was normal. After initial improvement, the patient experienced progressively increasing pain over the injured area.</w:t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On physical examination, vital signs are normal. Evidence of a healed wound is seen on the left heel. Mild edema is noted with significant tenderness on palpation but without warmth, erythema, or drainage.</w:t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Laboratory studies show an erythrocyte sedimentation rate of 110 mm/h.</w:t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  <w:t>A repeat plain radiograph shows evidence of soft tissue swelling with cortical destruction and accompanying periosteal reaction in the distal calcaneus.</w:t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asciiTheme="majorHAnsi" w:hAnsiTheme="majorHAnsi" w:cstheme="majorHAnsi"/>
          <w:b/>
          <w:bCs/>
          <w:color w:val="323130"/>
          <w:sz w:val="18"/>
          <w:szCs w:val="18"/>
          <w:shd w:val="clear" w:color="auto" w:fill="FFFFFF"/>
        </w:rPr>
        <w:t>Which of the following is the most appropriate management?</w:t>
      </w:r>
    </w:p>
    <w:p w14:paraId="143620F7" w14:textId="77777777" w:rsidR="008A56E6" w:rsidRDefault="008A56E6" w:rsidP="008A56E6">
      <w:pPr>
        <w:pStyle w:val="ListParagraph"/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</w:pPr>
    </w:p>
    <w:p w14:paraId="14BD57C7" w14:textId="72A30190" w:rsidR="008A56E6" w:rsidRDefault="008A56E6" w:rsidP="008A56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Bone biopsy</w:t>
      </w:r>
    </w:p>
    <w:p w14:paraId="4D773E6F" w14:textId="5AA6FB4B" w:rsidR="008A56E6" w:rsidRPr="008A56E6" w:rsidRDefault="008A56E6" w:rsidP="008A56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Ciprofloxacin</w:t>
      </w:r>
    </w:p>
    <w:p w14:paraId="438CDEA9" w14:textId="255EEA00" w:rsidR="008A56E6" w:rsidRPr="008A56E6" w:rsidRDefault="008A56E6" w:rsidP="008A56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Linezolid</w:t>
      </w:r>
    </w:p>
    <w:p w14:paraId="534DA734" w14:textId="64B25CD7" w:rsidR="008A56E6" w:rsidRPr="008A56E6" w:rsidRDefault="008A56E6" w:rsidP="008A56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MRI with contrast</w:t>
      </w:r>
    </w:p>
    <w:p w14:paraId="0D79B9AD" w14:textId="28926AD1" w:rsidR="008A56E6" w:rsidRPr="008A56E6" w:rsidRDefault="008A56E6" w:rsidP="008A56E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Three-phase nuclear bone scan</w:t>
      </w:r>
    </w:p>
    <w:p w14:paraId="5638225C" w14:textId="77777777" w:rsidR="008A56E6" w:rsidRPr="008A56E6" w:rsidRDefault="008A56E6" w:rsidP="008A56E6">
      <w:pPr>
        <w:pStyle w:val="ListParagraph"/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</w:pPr>
    </w:p>
    <w:p w14:paraId="5AEFC7B5" w14:textId="77777777" w:rsidR="008A56E6" w:rsidRPr="008A56E6" w:rsidRDefault="008A56E6" w:rsidP="008A56E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18"/>
          <w:szCs w:val="18"/>
        </w:rPr>
      </w:pP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21-yr-old woman comes to the emergency department due to fever and headache. The patient began having myalgias 12 hours ago and then rapidly developed fever, progressive headache, </w:t>
      </w:r>
      <w:proofErr w:type="gramStart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nausea</w:t>
      </w:r>
      <w:proofErr w:type="gramEnd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 and several episodes of vomiting. She has had no cough, dyspnea, </w:t>
      </w:r>
      <w:proofErr w:type="gramStart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diarrhea</w:t>
      </w:r>
      <w:proofErr w:type="gramEnd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 or dysuria. The patient has no prior medical issues and takes no medications. She is a college student and lives in a dormitory on campus. She has not traveled recently and does not know is she has been exposed to sick contacts. The patient drinks 2-4 beers on weekends and does not use tobacco or illicit drugs.</w:t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Temperature is 39.2(102.7 F), blood pressure is 106/68 mm Hg, pulse is 115/min and respirations are 20/min. The patient is ill-appearing with scattered petechial skin rash. No sinus tenderness is </w:t>
      </w:r>
      <w:proofErr w:type="gramStart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present</w:t>
      </w:r>
      <w:proofErr w:type="gramEnd"/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 and the oropharyngeal mucosa is moist with no lesions.</w:t>
      </w:r>
      <w:r w:rsidRPr="008A56E6">
        <w:rPr>
          <w:rFonts w:asciiTheme="majorHAnsi" w:hAnsiTheme="majorHAnsi" w:cstheme="majorHAnsi"/>
          <w:color w:val="323130"/>
          <w:sz w:val="18"/>
          <w:szCs w:val="18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  <w:t>Auscultation of the heart and lungs is normal. She has neck rigidity but no other focal neurological deficits. Fundoscopy shows no papilledema.</w:t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lastRenderedPageBreak/>
        <w:br/>
      </w:r>
    </w:p>
    <w:p w14:paraId="1022BD26" w14:textId="5332B252" w:rsidR="008A56E6" w:rsidRPr="008A56E6" w:rsidRDefault="008A56E6" w:rsidP="008A56E6">
      <w:pPr>
        <w:pStyle w:val="ListParagraph"/>
        <w:rPr>
          <w:rFonts w:asciiTheme="majorHAnsi" w:hAnsiTheme="majorHAnsi" w:cstheme="majorHAnsi"/>
          <w:sz w:val="18"/>
          <w:szCs w:val="18"/>
        </w:rPr>
      </w:pPr>
      <w:r w:rsidRPr="008A56E6">
        <w:rPr>
          <w:rFonts w:asciiTheme="majorHAnsi" w:hAnsiTheme="majorHAnsi" w:cstheme="majorHAnsi"/>
          <w:b/>
          <w:bCs/>
          <w:color w:val="323130"/>
          <w:sz w:val="18"/>
          <w:szCs w:val="18"/>
          <w:shd w:val="clear" w:color="auto" w:fill="FFFFFF"/>
        </w:rPr>
        <w:t>Which of the following infection-control measures is most appropriate at the present time for this patient?</w:t>
      </w:r>
    </w:p>
    <w:p w14:paraId="76857614" w14:textId="790FD23A" w:rsidR="008A56E6" w:rsidRDefault="008A56E6" w:rsidP="008A56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 xml:space="preserve">Contact isolation </w:t>
      </w:r>
      <w:proofErr w:type="gramStart"/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precautions</w:t>
      </w:r>
      <w:proofErr w:type="gramEnd"/>
    </w:p>
    <w:p w14:paraId="725F2694" w14:textId="77777777" w:rsidR="008A56E6" w:rsidRPr="008A56E6" w:rsidRDefault="008A56E6" w:rsidP="008A56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Placement in a room with negative air pressure</w:t>
      </w:r>
    </w:p>
    <w:p w14:paraId="3CFDAA5D" w14:textId="77777777" w:rsidR="008A56E6" w:rsidRPr="008A56E6" w:rsidRDefault="008A56E6" w:rsidP="008A56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Standard precautions only</w:t>
      </w:r>
    </w:p>
    <w:p w14:paraId="45690B6C" w14:textId="77777777" w:rsidR="008A56E6" w:rsidRPr="008A56E6" w:rsidRDefault="008A56E6" w:rsidP="008A56E6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Strict use of soap and water for hand hygiene</w:t>
      </w:r>
    </w:p>
    <w:p w14:paraId="4F512FEC" w14:textId="2927E66B" w:rsidR="008A56E6" w:rsidRPr="001B102C" w:rsidRDefault="008A56E6" w:rsidP="001B102C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t>Wearing a surgical mask in the vicinity of the patient</w:t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</w:r>
      <w:r w:rsidRPr="008A56E6">
        <w:rPr>
          <w:rFonts w:asciiTheme="majorHAnsi" w:hAnsiTheme="majorHAnsi" w:cstheme="majorHAnsi"/>
          <w:color w:val="323130"/>
          <w:sz w:val="18"/>
          <w:szCs w:val="18"/>
          <w:shd w:val="clear" w:color="auto" w:fill="FFFFFF"/>
        </w:rPr>
        <w:br/>
      </w:r>
      <w:r w:rsidRPr="001B102C">
        <w:rPr>
          <w:rFonts w:asciiTheme="majorHAnsi" w:hAnsiTheme="majorHAnsi" w:cstheme="majorHAnsi"/>
          <w:b/>
          <w:bCs/>
          <w:color w:val="323130"/>
          <w:sz w:val="18"/>
          <w:szCs w:val="18"/>
          <w:u w:val="single"/>
          <w:shd w:val="clear" w:color="auto" w:fill="FFFFFF"/>
        </w:rPr>
        <w:br/>
      </w:r>
      <w:r w:rsidR="001B102C" w:rsidRPr="001B102C">
        <w:rPr>
          <w:rFonts w:cstheme="minorHAnsi"/>
          <w:b/>
          <w:bCs/>
          <w:u w:val="single"/>
        </w:rPr>
        <w:t>(4-6) Review articles and LOS for 9/5/2023 AHD. Write out and turn in the answers to the LOs for THIS week.</w:t>
      </w:r>
    </w:p>
    <w:p w14:paraId="46590D07" w14:textId="1511F8FD" w:rsidR="008A56E6" w:rsidRPr="001B102C" w:rsidRDefault="008A56E6" w:rsidP="008A56E6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 xml:space="preserve">escribe </w:t>
      </w:r>
      <w:proofErr w:type="spellStart"/>
      <w:r w:rsidRPr="001B102C">
        <w:rPr>
          <w:rFonts w:asciiTheme="majorHAnsi" w:hAnsiTheme="majorHAnsi" w:cstheme="majorHAnsi"/>
          <w:color w:val="212121"/>
          <w:sz w:val="20"/>
          <w:szCs w:val="20"/>
        </w:rPr>
        <w:t>pseu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oa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iction</w:t>
      </w:r>
      <w:proofErr w:type="spellEnd"/>
      <w:r w:rsidRPr="001B102C">
        <w:rPr>
          <w:rFonts w:asciiTheme="majorHAnsi" w:hAnsiTheme="majorHAnsi" w:cstheme="majorHAnsi"/>
          <w:color w:val="212121"/>
          <w:sz w:val="20"/>
          <w:szCs w:val="20"/>
        </w:rPr>
        <w:t xml:space="preserve"> an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Style w:val="apple-converted-space"/>
          <w:rFonts w:asciiTheme="majorHAnsi" w:hAnsiTheme="majorHAnsi" w:cstheme="majorHAnsi"/>
          <w:color w:val="212121"/>
          <w:sz w:val="20"/>
          <w:szCs w:val="20"/>
        </w:rPr>
        <w:t> 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how it</w:t>
      </w:r>
      <w:r w:rsidRPr="001B102C">
        <w:rPr>
          <w:rStyle w:val="apple-converted-space"/>
          <w:rFonts w:asciiTheme="majorHAnsi" w:hAnsiTheme="majorHAnsi" w:cstheme="majorHAnsi"/>
          <w:color w:val="212121"/>
          <w:sz w:val="20"/>
          <w:szCs w:val="20"/>
        </w:rPr>
        <w:t> 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iffers from opioi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Style w:val="apple-converted-space"/>
          <w:rFonts w:asciiTheme="majorHAnsi" w:hAnsiTheme="majorHAnsi" w:cstheme="majorHAnsi"/>
          <w:color w:val="212121"/>
          <w:sz w:val="20"/>
          <w:szCs w:val="20"/>
        </w:rPr>
        <w:t> 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use</w:t>
      </w:r>
      <w:r w:rsidRPr="001B102C">
        <w:rPr>
          <w:rStyle w:val="apple-converted-space"/>
          <w:rFonts w:asciiTheme="majorHAnsi" w:hAnsiTheme="majorHAnsi" w:cstheme="majorHAnsi"/>
          <w:color w:val="212121"/>
          <w:sz w:val="20"/>
          <w:szCs w:val="20"/>
        </w:rPr>
        <w:t> 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isor</w:t>
      </w:r>
      <w:r w:rsidRPr="001B102C">
        <w:rPr>
          <w:rStyle w:val="outlook-search-highlight"/>
          <w:rFonts w:asciiTheme="majorHAnsi" w:hAnsiTheme="majorHAnsi" w:cstheme="majorHAnsi"/>
          <w:color w:val="212121"/>
          <w:sz w:val="20"/>
          <w:szCs w:val="20"/>
        </w:rPr>
        <w:t>d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er.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 xml:space="preserve"> (Sickle cell disease).</w:t>
      </w:r>
    </w:p>
    <w:p w14:paraId="3ED04B96" w14:textId="283D679F" w:rsidR="001B102C" w:rsidRPr="001B102C" w:rsidRDefault="001B102C" w:rsidP="001B102C">
      <w:pPr>
        <w:pStyle w:val="ListParagraph"/>
        <w:numPr>
          <w:ilvl w:val="0"/>
          <w:numId w:val="1"/>
        </w:numPr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1B102C">
        <w:rPr>
          <w:rFonts w:asciiTheme="majorHAnsi" w:eastAsia="Times New Roman" w:hAnsiTheme="majorHAnsi" w:cstheme="majorHAnsi"/>
          <w:sz w:val="20"/>
          <w:szCs w:val="20"/>
        </w:rPr>
        <w:t xml:space="preserve">Define factitious thrombocytopenia (also called </w:t>
      </w:r>
      <w:proofErr w:type="spellStart"/>
      <w:r w:rsidRPr="001B102C">
        <w:rPr>
          <w:rFonts w:asciiTheme="majorHAnsi" w:eastAsia="Times New Roman" w:hAnsiTheme="majorHAnsi" w:cstheme="majorHAnsi"/>
          <w:sz w:val="20"/>
          <w:szCs w:val="20"/>
        </w:rPr>
        <w:t>pseudothrombocytopenia</w:t>
      </w:r>
      <w:proofErr w:type="spellEnd"/>
      <w:r w:rsidRPr="001B102C">
        <w:rPr>
          <w:rFonts w:asciiTheme="majorHAnsi" w:eastAsia="Times New Roman" w:hAnsiTheme="majorHAnsi" w:cstheme="majorHAnsi"/>
          <w:sz w:val="20"/>
          <w:szCs w:val="20"/>
        </w:rPr>
        <w:t xml:space="preserve">). </w:t>
      </w:r>
      <w:r w:rsidRPr="001B102C">
        <w:rPr>
          <w:rFonts w:asciiTheme="majorHAnsi" w:eastAsia="Times New Roman" w:hAnsiTheme="majorHAnsi" w:cstheme="majorHAnsi"/>
          <w:sz w:val="20"/>
          <w:szCs w:val="20"/>
        </w:rPr>
        <w:t>Describe</w:t>
      </w:r>
      <w:r w:rsidRPr="001B102C">
        <w:rPr>
          <w:rFonts w:asciiTheme="majorHAnsi" w:eastAsia="Times New Roman" w:hAnsiTheme="majorHAnsi" w:cstheme="majorHAnsi"/>
          <w:sz w:val="20"/>
          <w:szCs w:val="20"/>
        </w:rPr>
        <w:t xml:space="preserve"> how the diagnosis is made and its significance.</w:t>
      </w:r>
      <w:r w:rsidRPr="001B102C">
        <w:rPr>
          <w:rFonts w:asciiTheme="majorHAnsi" w:eastAsia="Times New Roman" w:hAnsiTheme="majorHAnsi" w:cstheme="majorHAnsi"/>
          <w:sz w:val="20"/>
          <w:szCs w:val="20"/>
        </w:rPr>
        <w:t xml:space="preserve"> (Thrombocytopenia)</w:t>
      </w:r>
    </w:p>
    <w:p w14:paraId="5881974E" w14:textId="53CA7136" w:rsidR="008A56E6" w:rsidRPr="001B102C" w:rsidRDefault="001B102C" w:rsidP="008A56E6">
      <w:pPr>
        <w:pStyle w:val="xli1"/>
        <w:numPr>
          <w:ilvl w:val="0"/>
          <w:numId w:val="1"/>
        </w:numPr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  <w:r w:rsidRPr="001B102C">
        <w:rPr>
          <w:rFonts w:asciiTheme="majorHAnsi" w:hAnsiTheme="majorHAnsi" w:cstheme="majorHAnsi"/>
          <w:color w:val="212121"/>
          <w:sz w:val="20"/>
          <w:szCs w:val="20"/>
        </w:rPr>
        <w:t>Describe the indications for bridging heparin therapy perioperatively in a patient who is</w:t>
      </w:r>
      <w:r w:rsidR="00975C86">
        <w:rPr>
          <w:rFonts w:asciiTheme="majorHAnsi" w:hAnsiTheme="majorHAnsi" w:cstheme="majorHAnsi"/>
          <w:color w:val="212121"/>
          <w:sz w:val="20"/>
          <w:szCs w:val="20"/>
        </w:rPr>
        <w:t xml:space="preserve"> </w:t>
      </w:r>
      <w:proofErr w:type="spellStart"/>
      <w:r w:rsidR="00F277DC">
        <w:rPr>
          <w:rFonts w:asciiTheme="majorHAnsi" w:hAnsiTheme="majorHAnsi" w:cstheme="majorHAnsi"/>
          <w:b/>
          <w:bCs/>
          <w:color w:val="212121"/>
          <w:sz w:val="20"/>
          <w:szCs w:val="20"/>
        </w:rPr>
        <w:t>HiGH</w:t>
      </w:r>
      <w:proofErr w:type="spellEnd"/>
      <w:r w:rsidR="00F277DC">
        <w:rPr>
          <w:rFonts w:asciiTheme="majorHAnsi" w:hAnsiTheme="majorHAnsi" w:cstheme="majorHAnsi"/>
          <w:b/>
          <w:bCs/>
          <w:color w:val="212121"/>
          <w:sz w:val="20"/>
          <w:szCs w:val="20"/>
        </w:rPr>
        <w:t xml:space="preserve"> risk 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 xml:space="preserve">for thrombosis </w:t>
      </w:r>
      <w:r w:rsidR="00975C86">
        <w:rPr>
          <w:rFonts w:asciiTheme="majorHAnsi" w:hAnsiTheme="majorHAnsi" w:cstheme="majorHAnsi"/>
          <w:color w:val="212121"/>
          <w:sz w:val="20"/>
          <w:szCs w:val="20"/>
        </w:rPr>
        <w:t xml:space="preserve">and is on warfarin </w:t>
      </w:r>
      <w:r w:rsidRPr="001B102C">
        <w:rPr>
          <w:rFonts w:asciiTheme="majorHAnsi" w:hAnsiTheme="majorHAnsi" w:cstheme="majorHAnsi"/>
          <w:color w:val="212121"/>
          <w:sz w:val="20"/>
          <w:szCs w:val="20"/>
        </w:rPr>
        <w:t>in the setting of atrial fibrillation, VTE, and prosthetic heart valve.</w:t>
      </w:r>
      <w:r>
        <w:rPr>
          <w:rFonts w:asciiTheme="majorHAnsi" w:hAnsiTheme="majorHAnsi" w:cstheme="majorHAnsi"/>
          <w:color w:val="212121"/>
          <w:sz w:val="20"/>
          <w:szCs w:val="20"/>
        </w:rPr>
        <w:t xml:space="preserve"> (Anticoagulation Jeopardy)</w:t>
      </w:r>
      <w:r w:rsidR="00F277DC">
        <w:rPr>
          <w:rFonts w:asciiTheme="majorHAnsi" w:hAnsiTheme="majorHAnsi" w:cstheme="majorHAnsi"/>
          <w:color w:val="212121"/>
          <w:sz w:val="20"/>
          <w:szCs w:val="20"/>
        </w:rPr>
        <w:t>. What are the indications for bridging in patients who are LOW or MODERATE risk?</w:t>
      </w:r>
    </w:p>
    <w:p w14:paraId="322DB57D" w14:textId="77777777" w:rsidR="001B102C" w:rsidRPr="001B102C" w:rsidRDefault="001B102C" w:rsidP="001B102C">
      <w:pPr>
        <w:pStyle w:val="xli1"/>
        <w:spacing w:before="0" w:beforeAutospacing="0" w:after="0" w:afterAutospacing="0"/>
        <w:rPr>
          <w:rFonts w:asciiTheme="majorHAnsi" w:hAnsiTheme="majorHAnsi" w:cstheme="majorHAnsi"/>
          <w:color w:val="212121"/>
          <w:sz w:val="20"/>
          <w:szCs w:val="20"/>
        </w:rPr>
      </w:pPr>
    </w:p>
    <w:p w14:paraId="55D29FAE" w14:textId="77777777" w:rsidR="001B102C" w:rsidRDefault="001B102C" w:rsidP="001B102C">
      <w:pPr>
        <w:pStyle w:val="xli1"/>
        <w:spacing w:before="0" w:beforeAutospacing="0" w:after="0" w:afterAutospacing="0"/>
        <w:rPr>
          <w:rFonts w:asciiTheme="majorHAnsi" w:hAnsiTheme="majorHAnsi" w:cstheme="majorHAnsi"/>
          <w:color w:val="212121"/>
        </w:rPr>
      </w:pPr>
    </w:p>
    <w:p w14:paraId="41FA7635" w14:textId="3F12E42E" w:rsidR="001B102C" w:rsidRPr="001B102C" w:rsidRDefault="001B102C" w:rsidP="001B102C">
      <w:pPr>
        <w:pStyle w:val="xli1"/>
        <w:spacing w:before="0" w:beforeAutospacing="0" w:after="0" w:afterAutospacing="0"/>
        <w:rPr>
          <w:rFonts w:asciiTheme="majorHAnsi" w:hAnsiTheme="majorHAnsi" w:cstheme="majorHAnsi"/>
          <w:b/>
          <w:bCs/>
          <w:color w:val="212121"/>
          <w:u w:val="single"/>
        </w:rPr>
      </w:pPr>
      <w:r w:rsidRPr="001B102C">
        <w:rPr>
          <w:rFonts w:asciiTheme="majorHAnsi" w:hAnsiTheme="majorHAnsi" w:cstheme="majorHAnsi"/>
          <w:b/>
          <w:bCs/>
          <w:color w:val="212121"/>
          <w:u w:val="single"/>
        </w:rPr>
        <w:t>Please fill out the following survey for Dr. Alyssa Hummel prior to AHD September 5.</w:t>
      </w:r>
    </w:p>
    <w:p w14:paraId="7C564BDB" w14:textId="77777777" w:rsidR="001B102C" w:rsidRDefault="001B102C" w:rsidP="008A56E6">
      <w:pPr>
        <w:rPr>
          <w:rFonts w:asciiTheme="majorHAnsi" w:hAnsiTheme="majorHAnsi" w:cstheme="majorHAnsi"/>
          <w:b/>
          <w:bCs/>
          <w:color w:val="323130"/>
          <w:sz w:val="18"/>
          <w:szCs w:val="18"/>
          <w:u w:val="single"/>
          <w:shd w:val="clear" w:color="auto" w:fill="FFFFFF"/>
        </w:rPr>
      </w:pPr>
    </w:p>
    <w:p w14:paraId="5607186D" w14:textId="7C92ACE8" w:rsidR="008A56E6" w:rsidRPr="001B102C" w:rsidRDefault="001B102C" w:rsidP="008A56E6">
      <w:pPr>
        <w:rPr>
          <w:rFonts w:asciiTheme="majorHAnsi" w:hAnsiTheme="majorHAnsi" w:cstheme="majorHAnsi"/>
          <w:b/>
          <w:bCs/>
          <w:sz w:val="18"/>
          <w:szCs w:val="18"/>
          <w:u w:val="single"/>
        </w:rPr>
      </w:pPr>
      <w:r>
        <w:rPr>
          <w:rFonts w:asciiTheme="majorHAnsi" w:hAnsiTheme="majorHAnsi" w:cstheme="majorHAnsi"/>
          <w:b/>
          <w:bCs/>
          <w:noProof/>
          <w:color w:val="323130"/>
          <w:sz w:val="18"/>
          <w:szCs w:val="18"/>
          <w:u w:val="single"/>
          <w:shd w:val="clear" w:color="auto" w:fill="FFFFFF"/>
        </w:rPr>
        <w:drawing>
          <wp:inline distT="0" distB="0" distL="0" distR="0" wp14:anchorId="2C66528B" wp14:editId="64BE88CA">
            <wp:extent cx="5943600" cy="2123440"/>
            <wp:effectExtent l="0" t="0" r="0" b="0"/>
            <wp:docPr id="658520854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8520854" name="Picture 1" descr="A close-up of a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6E6" w:rsidRPr="001B102C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11F8"/>
    <w:multiLevelType w:val="hybridMultilevel"/>
    <w:tmpl w:val="8146033E"/>
    <w:lvl w:ilvl="0" w:tplc="45EA8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81BDE"/>
    <w:multiLevelType w:val="hybridMultilevel"/>
    <w:tmpl w:val="2FCC03FE"/>
    <w:lvl w:ilvl="0" w:tplc="8A1845C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3231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605"/>
    <w:multiLevelType w:val="hybridMultilevel"/>
    <w:tmpl w:val="29FCFB5A"/>
    <w:lvl w:ilvl="0" w:tplc="DCD8DEE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E3C"/>
    <w:multiLevelType w:val="hybridMultilevel"/>
    <w:tmpl w:val="0FD49832"/>
    <w:lvl w:ilvl="0" w:tplc="CF4AFB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142B5"/>
    <w:multiLevelType w:val="hybridMultilevel"/>
    <w:tmpl w:val="DAD81FB8"/>
    <w:lvl w:ilvl="0" w:tplc="F6B666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E6BF3"/>
    <w:multiLevelType w:val="multilevel"/>
    <w:tmpl w:val="447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9114739">
    <w:abstractNumId w:val="1"/>
  </w:num>
  <w:num w:numId="2" w16cid:durableId="1795516995">
    <w:abstractNumId w:val="3"/>
  </w:num>
  <w:num w:numId="3" w16cid:durableId="1614552106">
    <w:abstractNumId w:val="0"/>
  </w:num>
  <w:num w:numId="4" w16cid:durableId="1969623237">
    <w:abstractNumId w:val="4"/>
  </w:num>
  <w:num w:numId="5" w16cid:durableId="2002196991">
    <w:abstractNumId w:val="5"/>
  </w:num>
  <w:num w:numId="6" w16cid:durableId="3435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E6"/>
    <w:rsid w:val="00047796"/>
    <w:rsid w:val="001B102C"/>
    <w:rsid w:val="00371DD9"/>
    <w:rsid w:val="003748B3"/>
    <w:rsid w:val="008A56E6"/>
    <w:rsid w:val="00975C86"/>
    <w:rsid w:val="00B6416E"/>
    <w:rsid w:val="00F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4FF47"/>
  <w15:chartTrackingRefBased/>
  <w15:docId w15:val="{A9002743-E219-4442-8387-F736FEC9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E6"/>
    <w:pPr>
      <w:ind w:left="720"/>
      <w:contextualSpacing/>
    </w:pPr>
  </w:style>
  <w:style w:type="paragraph" w:customStyle="1" w:styleId="xli1">
    <w:name w:val="xli1"/>
    <w:basedOn w:val="Normal"/>
    <w:rsid w:val="008A56E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outlook-search-highlight">
    <w:name w:val="outlook-search-highlight"/>
    <w:basedOn w:val="DefaultParagraphFont"/>
    <w:rsid w:val="008A56E6"/>
  </w:style>
  <w:style w:type="character" w:customStyle="1" w:styleId="apple-converted-space">
    <w:name w:val="apple-converted-space"/>
    <w:basedOn w:val="DefaultParagraphFont"/>
    <w:rsid w:val="008A5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Shinar, Brenda</dc:creator>
  <cp:keywords/>
  <dc:description/>
  <cp:lastModifiedBy>Shinar, Brenda</cp:lastModifiedBy>
  <cp:revision>2</cp:revision>
  <dcterms:created xsi:type="dcterms:W3CDTF">2023-08-31T18:51:00Z</dcterms:created>
  <dcterms:modified xsi:type="dcterms:W3CDTF">2023-08-31T18:51:00Z</dcterms:modified>
</cp:coreProperties>
</file>