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ACF31C" w14:textId="29C864F1" w:rsidR="00047796" w:rsidRDefault="006E0D62" w:rsidP="006E0D62">
      <w:pPr>
        <w:jc w:val="center"/>
        <w:rPr>
          <w:b/>
          <w:bCs/>
          <w:u w:val="single"/>
        </w:rPr>
      </w:pPr>
      <w:r w:rsidRPr="006E0D62">
        <w:rPr>
          <w:b/>
          <w:bCs/>
          <w:u w:val="single"/>
        </w:rPr>
        <w:t>September 22, 2026, AHD Learning Objectives</w:t>
      </w:r>
    </w:p>
    <w:p w14:paraId="20F13BAE" w14:textId="5EAF9E17" w:rsidR="006E0D62" w:rsidRDefault="006E0D62" w:rsidP="006E0D62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Sickle Cell Disease:</w:t>
      </w:r>
    </w:p>
    <w:p w14:paraId="3CCE19F7" w14:textId="129C418B" w:rsidR="006E0D62" w:rsidRDefault="00BC76CA" w:rsidP="006E0D62">
      <w:pPr>
        <w:pStyle w:val="ListParagraph"/>
        <w:numPr>
          <w:ilvl w:val="0"/>
          <w:numId w:val="1"/>
        </w:numPr>
        <w:spacing w:after="0"/>
      </w:pPr>
      <w:r>
        <w:t>Recognize and treat acute chest syndrome using early oxygen, incentive spirometry, empiric antibiotics, and targeted transfusion support.</w:t>
      </w:r>
    </w:p>
    <w:p w14:paraId="5D39EF40" w14:textId="5DC60F63" w:rsidR="00BC76CA" w:rsidRDefault="00BC76CA" w:rsidP="006E0D62">
      <w:pPr>
        <w:pStyle w:val="ListParagraph"/>
        <w:numPr>
          <w:ilvl w:val="0"/>
          <w:numId w:val="1"/>
        </w:numPr>
        <w:spacing w:after="0"/>
      </w:pPr>
      <w:r>
        <w:t>Identify and stabilize emergent multiorgan crises including stroke, acute splenic sequestration, aplastic crises, and prolonged priapism.</w:t>
      </w:r>
    </w:p>
    <w:p w14:paraId="1E300353" w14:textId="421C5E33" w:rsidR="00BC76CA" w:rsidRDefault="00BC76CA" w:rsidP="006E0D62">
      <w:pPr>
        <w:pStyle w:val="ListParagraph"/>
        <w:numPr>
          <w:ilvl w:val="0"/>
          <w:numId w:val="1"/>
        </w:numPr>
        <w:spacing w:after="0"/>
      </w:pPr>
      <w:r>
        <w:t>Manage severe or refractory pain crises safely utilizing individualized patient pain action plans and balanced opioid stewardship.</w:t>
      </w:r>
    </w:p>
    <w:p w14:paraId="77348418" w14:textId="643D53D2" w:rsidR="00BC76CA" w:rsidRDefault="00BC76CA" w:rsidP="006E0D62">
      <w:pPr>
        <w:pStyle w:val="ListParagraph"/>
        <w:numPr>
          <w:ilvl w:val="0"/>
          <w:numId w:val="1"/>
        </w:numPr>
        <w:spacing w:after="0"/>
      </w:pPr>
      <w:r>
        <w:t>Initiate and monitor disease-modifying medical therapy such as hydroxyurea to reduce crisis frequency.</w:t>
      </w:r>
    </w:p>
    <w:p w14:paraId="7A53C427" w14:textId="54297975" w:rsidR="00BC76CA" w:rsidRDefault="00BC76CA" w:rsidP="006E0D62">
      <w:pPr>
        <w:pStyle w:val="ListParagraph"/>
        <w:numPr>
          <w:ilvl w:val="0"/>
          <w:numId w:val="1"/>
        </w:numPr>
        <w:spacing w:after="0"/>
      </w:pPr>
      <w:r>
        <w:t>Screen for and coordinate long-term care for chronic end-organ damage including pulmonary hypertension, renal disease, avascular necrosis, and iron-overload.</w:t>
      </w:r>
    </w:p>
    <w:p w14:paraId="7038CC49" w14:textId="33EAD77F" w:rsidR="00BC76CA" w:rsidRDefault="00BC76CA" w:rsidP="006E0D62">
      <w:pPr>
        <w:pStyle w:val="ListParagraph"/>
        <w:numPr>
          <w:ilvl w:val="0"/>
          <w:numId w:val="1"/>
        </w:numPr>
        <w:spacing w:after="0"/>
      </w:pPr>
      <w:r>
        <w:t>Administer appropriate immunizations and prophylactic antibiotics to mitigate high infection risks stemming from functional asplenia.</w:t>
      </w:r>
    </w:p>
    <w:p w14:paraId="3B3737EE" w14:textId="77777777" w:rsidR="00BC76CA" w:rsidRPr="00BC76CA" w:rsidRDefault="00BC76CA" w:rsidP="00BC76CA">
      <w:pPr>
        <w:spacing w:after="0"/>
        <w:rPr>
          <w:b/>
          <w:bCs/>
          <w:u w:val="single"/>
        </w:rPr>
      </w:pPr>
    </w:p>
    <w:p w14:paraId="594AA90B" w14:textId="0852CE7F" w:rsidR="00BC76CA" w:rsidRDefault="00BC76CA" w:rsidP="00BC76CA">
      <w:pPr>
        <w:spacing w:after="0"/>
        <w:rPr>
          <w:b/>
          <w:bCs/>
          <w:u w:val="single"/>
        </w:rPr>
      </w:pPr>
      <w:r w:rsidRPr="00BC76CA">
        <w:rPr>
          <w:b/>
          <w:bCs/>
          <w:u w:val="single"/>
        </w:rPr>
        <w:t>Iron Metabolism:</w:t>
      </w:r>
    </w:p>
    <w:p w14:paraId="7C830888" w14:textId="2D1AF839" w:rsidR="00BC76CA" w:rsidRDefault="00BC76CA" w:rsidP="00BC76CA">
      <w:pPr>
        <w:pStyle w:val="ListParagraph"/>
        <w:numPr>
          <w:ilvl w:val="0"/>
          <w:numId w:val="2"/>
        </w:numPr>
        <w:spacing w:after="0"/>
      </w:pPr>
      <w:r>
        <w:t xml:space="preserve">Detail the roles of hepcidin, </w:t>
      </w:r>
      <w:proofErr w:type="spellStart"/>
      <w:r>
        <w:t>ferroportin</w:t>
      </w:r>
      <w:proofErr w:type="spellEnd"/>
      <w:r>
        <w:t>, and transferrin in regulating systemic iron absorption and storage.</w:t>
      </w:r>
    </w:p>
    <w:p w14:paraId="7923A29E" w14:textId="7691D806" w:rsidR="00BC76CA" w:rsidRDefault="00BC76CA" w:rsidP="00BC76CA">
      <w:pPr>
        <w:pStyle w:val="ListParagraph"/>
        <w:numPr>
          <w:ilvl w:val="0"/>
          <w:numId w:val="2"/>
        </w:numPr>
        <w:spacing w:after="0"/>
      </w:pPr>
      <w:r>
        <w:t>Interpret complete iron panels including serum iron, ferritin, total iron binding capacity (TIBC) and transferrin saturation.</w:t>
      </w:r>
    </w:p>
    <w:p w14:paraId="6A863B85" w14:textId="24A0E0C7" w:rsidR="00BC76CA" w:rsidRDefault="00BC76CA" w:rsidP="00BC76CA">
      <w:pPr>
        <w:pStyle w:val="ListParagraph"/>
        <w:numPr>
          <w:ilvl w:val="0"/>
          <w:numId w:val="2"/>
        </w:numPr>
        <w:spacing w:after="0"/>
      </w:pPr>
      <w:r>
        <w:t>Differentiate iron deficiency anemia from anemia of chronic disease (inflammation) using specialized markers like soluble transferrin receptor or ferritin cutoffs.</w:t>
      </w:r>
    </w:p>
    <w:p w14:paraId="76460BF8" w14:textId="004970B3" w:rsidR="00BC76CA" w:rsidRDefault="00BC76CA" w:rsidP="00BC76CA">
      <w:pPr>
        <w:pStyle w:val="ListParagraph"/>
        <w:numPr>
          <w:ilvl w:val="0"/>
          <w:numId w:val="2"/>
        </w:numPr>
        <w:spacing w:after="0"/>
      </w:pPr>
      <w:r>
        <w:t>Identify clinical presentations of hereditary hemochromatosis including arthropathy, hyperpigmentation, diabetes, and cardiomyopathy.</w:t>
      </w:r>
    </w:p>
    <w:p w14:paraId="55E9F95B" w14:textId="20961813" w:rsidR="00BC76CA" w:rsidRDefault="00BC76CA" w:rsidP="00BC76CA">
      <w:pPr>
        <w:pStyle w:val="ListParagraph"/>
        <w:numPr>
          <w:ilvl w:val="0"/>
          <w:numId w:val="2"/>
        </w:numPr>
        <w:spacing w:after="0"/>
      </w:pPr>
      <w:r>
        <w:t>Screen at-risk populations using genetic testing (HFE mutations) and evaluate iron overload severity via serum ferritin or cardiac/hepatic MRI.</w:t>
      </w:r>
    </w:p>
    <w:p w14:paraId="115592A6" w14:textId="5BF9D0DC" w:rsidR="00BC76CA" w:rsidRDefault="00BC76CA" w:rsidP="00BC76CA">
      <w:pPr>
        <w:pStyle w:val="ListParagraph"/>
        <w:numPr>
          <w:ilvl w:val="0"/>
          <w:numId w:val="2"/>
        </w:numPr>
        <w:spacing w:after="0"/>
      </w:pPr>
      <w:r>
        <w:t>Manage iron overload states using therapeutic phlebotomy protocols or iron chelation therapy for secondary overload (</w:t>
      </w:r>
      <w:proofErr w:type="spellStart"/>
      <w:r>
        <w:t>eg</w:t>
      </w:r>
      <w:proofErr w:type="spellEnd"/>
      <w:r>
        <w:t xml:space="preserve"> chronic transfusions).</w:t>
      </w:r>
    </w:p>
    <w:p w14:paraId="7310A140" w14:textId="77777777" w:rsidR="00015BFA" w:rsidRDefault="00015BFA" w:rsidP="00015BFA">
      <w:pPr>
        <w:spacing w:after="0"/>
      </w:pPr>
    </w:p>
    <w:p w14:paraId="56B09B96" w14:textId="78E2ED3B" w:rsidR="00015BFA" w:rsidRDefault="00015BFA" w:rsidP="00015BFA">
      <w:pPr>
        <w:spacing w:after="0"/>
        <w:rPr>
          <w:b/>
          <w:bCs/>
          <w:u w:val="single"/>
        </w:rPr>
      </w:pPr>
      <w:r w:rsidRPr="00015BFA">
        <w:rPr>
          <w:b/>
          <w:bCs/>
          <w:u w:val="single"/>
        </w:rPr>
        <w:t xml:space="preserve">Anemia: </w:t>
      </w:r>
    </w:p>
    <w:p w14:paraId="060DE49C" w14:textId="77777777" w:rsidR="006562AB" w:rsidRPr="006562AB" w:rsidRDefault="006562AB" w:rsidP="006562AB">
      <w:pPr>
        <w:pStyle w:val="ListParagraph"/>
        <w:numPr>
          <w:ilvl w:val="0"/>
          <w:numId w:val="3"/>
        </w:numPr>
      </w:pPr>
      <w:r w:rsidRPr="006562AB">
        <w:t>Define anemia and understand how to classify it based on the kinetic model and the morphologic model.</w:t>
      </w:r>
    </w:p>
    <w:p w14:paraId="5E07F99B" w14:textId="6C63DB6E" w:rsidR="006562AB" w:rsidRPr="006562AB" w:rsidRDefault="006562AB" w:rsidP="006562AB">
      <w:pPr>
        <w:pStyle w:val="ListParagraph"/>
        <w:numPr>
          <w:ilvl w:val="0"/>
          <w:numId w:val="3"/>
        </w:numPr>
      </w:pPr>
      <w:r>
        <w:t>Describe</w:t>
      </w:r>
      <w:r w:rsidRPr="006562AB">
        <w:t xml:space="preserve"> how to calculate the absolute reticulocyte count and absolute reticulocyte index and </w:t>
      </w:r>
      <w:r>
        <w:t>explain</w:t>
      </w:r>
      <w:r w:rsidRPr="006562AB">
        <w:t xml:space="preserve"> what these values mean</w:t>
      </w:r>
      <w:r>
        <w:t xml:space="preserve"> in terms of differential diagnosis.</w:t>
      </w:r>
    </w:p>
    <w:p w14:paraId="72FF8D57" w14:textId="145CB9AA" w:rsidR="006562AB" w:rsidRPr="006562AB" w:rsidRDefault="006562AB" w:rsidP="006562AB">
      <w:pPr>
        <w:pStyle w:val="ListParagraph"/>
        <w:numPr>
          <w:ilvl w:val="0"/>
          <w:numId w:val="3"/>
        </w:numPr>
      </w:pPr>
      <w:r>
        <w:t xml:space="preserve">Evaluate cases of  anemic patients </w:t>
      </w:r>
      <w:r w:rsidRPr="006562AB">
        <w:t xml:space="preserve"> </w:t>
      </w:r>
      <w:r>
        <w:t xml:space="preserve">with </w:t>
      </w:r>
      <w:r w:rsidRPr="006562AB">
        <w:t xml:space="preserve">microcytic, normocytic, and macrocytic anemias </w:t>
      </w:r>
      <w:r>
        <w:t>describing the tests that should be ordered and interpreting these tests correctly to make a diagnosis.</w:t>
      </w:r>
    </w:p>
    <w:p w14:paraId="3C32FCB3" w14:textId="77777777" w:rsidR="006562AB" w:rsidRPr="006562AB" w:rsidRDefault="006562AB" w:rsidP="006562AB">
      <w:pPr>
        <w:pStyle w:val="ListParagraph"/>
        <w:spacing w:after="0"/>
      </w:pPr>
    </w:p>
    <w:sectPr w:rsidR="006562AB" w:rsidRPr="006562AB" w:rsidSect="00374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1C2789"/>
    <w:multiLevelType w:val="hybridMultilevel"/>
    <w:tmpl w:val="D52EF760"/>
    <w:lvl w:ilvl="0" w:tplc="AF48D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928B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142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D0D8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F86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62C5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F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2EA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0AAC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861C83"/>
    <w:multiLevelType w:val="hybridMultilevel"/>
    <w:tmpl w:val="EEC22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C51E0"/>
    <w:multiLevelType w:val="hybridMultilevel"/>
    <w:tmpl w:val="A39AB480"/>
    <w:lvl w:ilvl="0" w:tplc="035C5A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5ED5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B464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9E58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5C9B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C0D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980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1C3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6EF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1F463AA"/>
    <w:multiLevelType w:val="hybridMultilevel"/>
    <w:tmpl w:val="7BE80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27A2E"/>
    <w:multiLevelType w:val="hybridMultilevel"/>
    <w:tmpl w:val="0CF20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741792">
    <w:abstractNumId w:val="1"/>
  </w:num>
  <w:num w:numId="2" w16cid:durableId="722216908">
    <w:abstractNumId w:val="3"/>
  </w:num>
  <w:num w:numId="3" w16cid:durableId="1219240447">
    <w:abstractNumId w:val="4"/>
  </w:num>
  <w:num w:numId="4" w16cid:durableId="1135833099">
    <w:abstractNumId w:val="0"/>
  </w:num>
  <w:num w:numId="5" w16cid:durableId="8651173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D62"/>
    <w:rsid w:val="00015BFA"/>
    <w:rsid w:val="00047796"/>
    <w:rsid w:val="001E0AA1"/>
    <w:rsid w:val="00371DD9"/>
    <w:rsid w:val="003748B3"/>
    <w:rsid w:val="004D48E2"/>
    <w:rsid w:val="006562AB"/>
    <w:rsid w:val="006E0D62"/>
    <w:rsid w:val="008D4061"/>
    <w:rsid w:val="00B6416E"/>
    <w:rsid w:val="00BC76CA"/>
    <w:rsid w:val="00F1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3A8873"/>
  <w15:chartTrackingRefBased/>
  <w15:docId w15:val="{F9C6A5E7-A65D-C94C-BAD8-EA3399228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0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D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D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D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D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D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D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D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D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D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D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D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Shinar</dc:creator>
  <cp:keywords/>
  <dc:description/>
  <cp:lastModifiedBy>Ron Shinar</cp:lastModifiedBy>
  <cp:revision>2</cp:revision>
  <dcterms:created xsi:type="dcterms:W3CDTF">2026-07-30T22:07:00Z</dcterms:created>
  <dcterms:modified xsi:type="dcterms:W3CDTF">2026-07-30T22:07:00Z</dcterms:modified>
</cp:coreProperties>
</file>