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55A3" w14:textId="779B4576" w:rsidR="005A7BFB" w:rsidRPr="005A7BFB" w:rsidRDefault="005A7BFB" w:rsidP="005A7B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7BFB">
        <w:rPr>
          <w:rFonts w:ascii="Arial" w:hAnsi="Arial" w:cs="Arial"/>
          <w:b/>
          <w:bCs/>
          <w:sz w:val="20"/>
          <w:szCs w:val="20"/>
        </w:rPr>
        <w:t>Objectives for 4/14/20</w:t>
      </w:r>
    </w:p>
    <w:p w14:paraId="1AC4AF83" w14:textId="068E00F2" w:rsidR="005A7BFB" w:rsidRPr="005A7BFB" w:rsidRDefault="005A7BFB">
      <w:pPr>
        <w:rPr>
          <w:rFonts w:ascii="Arial" w:hAnsi="Arial" w:cs="Arial"/>
          <w:b/>
          <w:bCs/>
          <w:sz w:val="20"/>
          <w:szCs w:val="20"/>
        </w:rPr>
      </w:pPr>
    </w:p>
    <w:p w14:paraId="737BCE5E" w14:textId="77777777" w:rsidR="005A7BFB" w:rsidRPr="005A7BFB" w:rsidRDefault="005A7BFB" w:rsidP="005A7BFB">
      <w:pPr>
        <w:jc w:val="center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hAnsi="Arial" w:cs="Arial"/>
          <w:b/>
          <w:bCs/>
          <w:sz w:val="20"/>
          <w:szCs w:val="20"/>
        </w:rPr>
        <w:t>Lower GI Bleeding</w:t>
      </w:r>
    </w:p>
    <w:p w14:paraId="34D7E72E" w14:textId="691CABB2" w:rsidR="005A7BFB" w:rsidRPr="005A7BFB" w:rsidRDefault="005A7BFB" w:rsidP="005A7BFB">
      <w:pPr>
        <w:pStyle w:val="ListParagraph"/>
        <w:numPr>
          <w:ilvl w:val="0"/>
          <w:numId w:val="6"/>
        </w:num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A7BFB">
        <w:rPr>
          <w:rFonts w:ascii="Arial" w:eastAsia="Times New Roman" w:hAnsi="Arial" w:cs="Arial"/>
          <w:color w:val="222222"/>
          <w:sz w:val="20"/>
          <w:szCs w:val="20"/>
        </w:rPr>
        <w:t>What four causes of lower GIB constitute nearly 80% of instances?</w:t>
      </w:r>
    </w:p>
    <w:p w14:paraId="59CCA966" w14:textId="0BF3C042" w:rsidR="005A7BFB" w:rsidRPr="005A7BFB" w:rsidRDefault="005A7BFB" w:rsidP="005A7BFB">
      <w:pPr>
        <w:pStyle w:val="ListParagraph"/>
        <w:numPr>
          <w:ilvl w:val="0"/>
          <w:numId w:val="6"/>
        </w:num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A7BFB">
        <w:rPr>
          <w:rFonts w:ascii="Arial" w:eastAsia="Times New Roman" w:hAnsi="Arial" w:cs="Arial"/>
          <w:color w:val="222222"/>
          <w:sz w:val="20"/>
          <w:szCs w:val="20"/>
        </w:rPr>
        <w:t>What percentage of the time is it from cancer or a polyp? </w:t>
      </w:r>
    </w:p>
    <w:p w14:paraId="1B8B9828" w14:textId="2123495E" w:rsidR="005A7BFB" w:rsidRPr="005A7BFB" w:rsidRDefault="005A7BFB" w:rsidP="005A7BFB">
      <w:pPr>
        <w:pStyle w:val="ListParagraph"/>
        <w:numPr>
          <w:ilvl w:val="0"/>
          <w:numId w:val="6"/>
        </w:num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A7BFB">
        <w:rPr>
          <w:rFonts w:ascii="Arial" w:eastAsia="Times New Roman" w:hAnsi="Arial" w:cs="Arial"/>
          <w:color w:val="222222"/>
          <w:sz w:val="20"/>
          <w:szCs w:val="20"/>
        </w:rPr>
        <w:t>What five criteria predict more severe lower GIB?</w:t>
      </w:r>
    </w:p>
    <w:p w14:paraId="5558F1CC" w14:textId="61C26720" w:rsidR="005A7BFB" w:rsidRPr="005A7BFB" w:rsidRDefault="005A7BFB" w:rsidP="005A7BFB">
      <w:pPr>
        <w:pStyle w:val="ListParagraph"/>
        <w:numPr>
          <w:ilvl w:val="0"/>
          <w:numId w:val="6"/>
        </w:num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A7BFB">
        <w:rPr>
          <w:rFonts w:ascii="Arial" w:eastAsia="Times New Roman" w:hAnsi="Arial" w:cs="Arial"/>
          <w:color w:val="222222"/>
          <w:sz w:val="20"/>
          <w:szCs w:val="20"/>
        </w:rPr>
        <w:t>How does your differential change in cases of occult GI bleeding based on the age of your patient?</w:t>
      </w:r>
    </w:p>
    <w:p w14:paraId="504112F3" w14:textId="79FB1781" w:rsidR="005A7BFB" w:rsidRPr="005A7BFB" w:rsidRDefault="005A7BFB" w:rsidP="005A7BFB">
      <w:pPr>
        <w:pStyle w:val="ListParagraph"/>
        <w:numPr>
          <w:ilvl w:val="0"/>
          <w:numId w:val="6"/>
        </w:num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A7BFB">
        <w:rPr>
          <w:rFonts w:ascii="Arial" w:eastAsia="Times New Roman" w:hAnsi="Arial" w:cs="Arial"/>
          <w:color w:val="222222"/>
          <w:sz w:val="20"/>
          <w:szCs w:val="20"/>
        </w:rPr>
        <w:t xml:space="preserve">Compare the diagnostic yield of repeat EGD and colonoscopy, pill endoscopy, push </w:t>
      </w:r>
      <w:proofErr w:type="spellStart"/>
      <w:r w:rsidRPr="005A7BFB">
        <w:rPr>
          <w:rFonts w:ascii="Arial" w:eastAsia="Times New Roman" w:hAnsi="Arial" w:cs="Arial"/>
          <w:color w:val="222222"/>
          <w:sz w:val="20"/>
          <w:szCs w:val="20"/>
        </w:rPr>
        <w:t>enteroscopy</w:t>
      </w:r>
      <w:proofErr w:type="spellEnd"/>
      <w:r w:rsidRPr="005A7BFB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gramStart"/>
      <w:r w:rsidRPr="005A7BFB">
        <w:rPr>
          <w:rFonts w:ascii="Arial" w:eastAsia="Times New Roman" w:hAnsi="Arial" w:cs="Arial"/>
          <w:color w:val="222222"/>
          <w:sz w:val="20"/>
          <w:szCs w:val="20"/>
        </w:rPr>
        <w:t>double-balloon</w:t>
      </w:r>
      <w:proofErr w:type="gramEnd"/>
      <w:r w:rsidRPr="005A7BF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A7BFB">
        <w:rPr>
          <w:rFonts w:ascii="Arial" w:eastAsia="Times New Roman" w:hAnsi="Arial" w:cs="Arial"/>
          <w:color w:val="222222"/>
          <w:sz w:val="20"/>
          <w:szCs w:val="20"/>
        </w:rPr>
        <w:t>enteroscopy</w:t>
      </w:r>
      <w:proofErr w:type="spellEnd"/>
      <w:r w:rsidRPr="005A7BFB">
        <w:rPr>
          <w:rFonts w:ascii="Arial" w:eastAsia="Times New Roman" w:hAnsi="Arial" w:cs="Arial"/>
          <w:color w:val="222222"/>
          <w:sz w:val="20"/>
          <w:szCs w:val="20"/>
        </w:rPr>
        <w:t>, angiography, and nuclear scans in diagnosing OGIB.</w:t>
      </w:r>
    </w:p>
    <w:p w14:paraId="7D8846C8" w14:textId="1A5DE69D" w:rsidR="005A7BFB" w:rsidRPr="005A7BFB" w:rsidRDefault="005A7BFB" w:rsidP="005A7BFB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6F7595F" w14:textId="77777777" w:rsidR="005A7BFB" w:rsidRPr="005A7BFB" w:rsidRDefault="005A7BFB" w:rsidP="005A7B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</w:p>
    <w:p w14:paraId="56550C9C" w14:textId="04817F25" w:rsidR="005A7BFB" w:rsidRPr="005A7BFB" w:rsidRDefault="005A7BFB" w:rsidP="005A7BF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A7BFB">
        <w:rPr>
          <w:rFonts w:ascii="Arial" w:eastAsia="Times New Roman" w:hAnsi="Arial" w:cs="Arial"/>
          <w:b/>
          <w:bCs/>
          <w:sz w:val="20"/>
          <w:szCs w:val="20"/>
        </w:rPr>
        <w:t>Hepatitis B</w:t>
      </w:r>
    </w:p>
    <w:p w14:paraId="2D265197" w14:textId="0A2C94CA" w:rsidR="005A7BFB" w:rsidRPr="005A7BFB" w:rsidRDefault="005A7BFB" w:rsidP="005A7BFB">
      <w:pPr>
        <w:pStyle w:val="ListParagraph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1C0AF38" w14:textId="04F0E0DB" w:rsidR="005A7BFB" w:rsidRPr="005A7BFB" w:rsidRDefault="005A7BFB" w:rsidP="005A7BFB">
      <w:pPr>
        <w:pStyle w:val="ListParagraph"/>
        <w:numPr>
          <w:ilvl w:val="0"/>
          <w:numId w:val="5"/>
        </w:num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A7BFB">
        <w:rPr>
          <w:rFonts w:ascii="Arial" w:eastAsia="Times New Roman" w:hAnsi="Arial" w:cs="Arial"/>
          <w:color w:val="222222"/>
          <w:sz w:val="20"/>
          <w:szCs w:val="20"/>
        </w:rPr>
        <w:t>Know the indications for immunization for hepatitis B infection prevention. </w:t>
      </w:r>
    </w:p>
    <w:p w14:paraId="080EF560" w14:textId="4162C373" w:rsidR="005A7BFB" w:rsidRPr="005A7BFB" w:rsidRDefault="005A7BFB" w:rsidP="005A7BFB">
      <w:pPr>
        <w:pStyle w:val="ListParagraph"/>
        <w:numPr>
          <w:ilvl w:val="0"/>
          <w:numId w:val="5"/>
        </w:num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A7BFB">
        <w:rPr>
          <w:rFonts w:ascii="Arial" w:eastAsia="Times New Roman" w:hAnsi="Arial" w:cs="Arial"/>
          <w:color w:val="222222"/>
          <w:sz w:val="20"/>
          <w:szCs w:val="20"/>
        </w:rPr>
        <w:t>Who should be screened for hep B?</w:t>
      </w:r>
    </w:p>
    <w:p w14:paraId="40E82B6F" w14:textId="2923117D" w:rsidR="005A7BFB" w:rsidRPr="005A7BFB" w:rsidRDefault="005A7BFB" w:rsidP="005A7BFB">
      <w:pPr>
        <w:pStyle w:val="ListParagraph"/>
        <w:numPr>
          <w:ilvl w:val="0"/>
          <w:numId w:val="5"/>
        </w:num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A7BFB">
        <w:rPr>
          <w:rFonts w:ascii="Arial" w:eastAsia="Times New Roman" w:hAnsi="Arial" w:cs="Arial"/>
          <w:color w:val="222222"/>
          <w:sz w:val="20"/>
          <w:szCs w:val="20"/>
        </w:rPr>
        <w:t>Draw a table of interpretation of Hep B serologies.</w:t>
      </w:r>
    </w:p>
    <w:p w14:paraId="25D706B6" w14:textId="0FAE348F" w:rsidR="005A7BFB" w:rsidRPr="005A7BFB" w:rsidRDefault="005A7BFB" w:rsidP="005A7BFB">
      <w:pPr>
        <w:pStyle w:val="ListParagraph"/>
        <w:numPr>
          <w:ilvl w:val="0"/>
          <w:numId w:val="5"/>
        </w:num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A7BFB">
        <w:rPr>
          <w:rFonts w:ascii="Arial" w:eastAsia="Times New Roman" w:hAnsi="Arial" w:cs="Arial"/>
          <w:color w:val="222222"/>
          <w:sz w:val="20"/>
          <w:szCs w:val="20"/>
        </w:rPr>
        <w:t>Which four patient populations should undergo treatment?</w:t>
      </w:r>
    </w:p>
    <w:p w14:paraId="45292F3C" w14:textId="0FCEE830" w:rsidR="005A7BFB" w:rsidRPr="005A7BFB" w:rsidRDefault="005A7BFB" w:rsidP="005A7BFB">
      <w:pPr>
        <w:pStyle w:val="ListParagraph"/>
        <w:numPr>
          <w:ilvl w:val="0"/>
          <w:numId w:val="5"/>
        </w:num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5A7BFB">
        <w:rPr>
          <w:rFonts w:ascii="Arial" w:eastAsia="Times New Roman" w:hAnsi="Arial" w:cs="Arial"/>
          <w:color w:val="222222"/>
          <w:sz w:val="20"/>
          <w:szCs w:val="20"/>
        </w:rPr>
        <w:t>What six characteristics are associated with increased risk for hepatocellular carcinoma?</w:t>
      </w:r>
    </w:p>
    <w:p w14:paraId="6B54C5D9" w14:textId="0747A20B" w:rsidR="005A7BFB" w:rsidRPr="005A7BFB" w:rsidRDefault="005A7BFB" w:rsidP="005A7BF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379FA27" w14:textId="77777777" w:rsidR="005A7BFB" w:rsidRPr="005A7BFB" w:rsidRDefault="005A7BFB" w:rsidP="005A7B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CA2B0E3" w14:textId="5E7DF28B" w:rsidR="005A7BFB" w:rsidRPr="005A7BFB" w:rsidRDefault="005A7BFB" w:rsidP="005A7B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b/>
          <w:bCs/>
          <w:sz w:val="20"/>
          <w:szCs w:val="20"/>
        </w:rPr>
        <w:t xml:space="preserve">Gallbladder </w:t>
      </w:r>
      <w:r w:rsidRPr="005A7BFB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5A7BFB">
        <w:rPr>
          <w:rFonts w:ascii="Arial" w:eastAsia="Times New Roman" w:hAnsi="Arial" w:cs="Arial"/>
          <w:b/>
          <w:bCs/>
          <w:sz w:val="20"/>
          <w:szCs w:val="20"/>
        </w:rPr>
        <w:t>isease</w:t>
      </w:r>
    </w:p>
    <w:p w14:paraId="1C620DDC" w14:textId="77777777" w:rsidR="005A7BFB" w:rsidRPr="005A7BFB" w:rsidRDefault="005A7BFB" w:rsidP="005A7B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1981EE1" w14:textId="4AF91905" w:rsidR="005A7BFB" w:rsidRPr="005A7BFB" w:rsidRDefault="005A7BFB" w:rsidP="005A7B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sz w:val="20"/>
          <w:szCs w:val="20"/>
        </w:rPr>
        <w:t xml:space="preserve">Distinguish between the clinical signs and symptoms and laboratory values of the </w:t>
      </w:r>
    </w:p>
    <w:p w14:paraId="2DFFD911" w14:textId="77777777" w:rsidR="005A7BFB" w:rsidRPr="005A7BFB" w:rsidRDefault="005A7BFB" w:rsidP="005A7B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sz w:val="20"/>
          <w:szCs w:val="20"/>
        </w:rPr>
        <w:t>following presentations:</w:t>
      </w:r>
    </w:p>
    <w:p w14:paraId="5959182B" w14:textId="6D0683EC" w:rsidR="005A7BFB" w:rsidRPr="005A7BFB" w:rsidRDefault="005A7BFB" w:rsidP="005A7BF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sz w:val="20"/>
          <w:szCs w:val="20"/>
        </w:rPr>
        <w:t>a.</w:t>
      </w:r>
      <w:r w:rsidRPr="005A7BFB">
        <w:rPr>
          <w:rFonts w:ascii="Arial" w:eastAsia="Times New Roman" w:hAnsi="Arial" w:cs="Arial"/>
          <w:sz w:val="20"/>
          <w:szCs w:val="20"/>
        </w:rPr>
        <w:t xml:space="preserve"> </w:t>
      </w:r>
      <w:r w:rsidRPr="005A7BFB">
        <w:rPr>
          <w:rFonts w:ascii="Arial" w:eastAsia="Times New Roman" w:hAnsi="Arial" w:cs="Arial"/>
          <w:sz w:val="20"/>
          <w:szCs w:val="20"/>
        </w:rPr>
        <w:t>Biliary colic</w:t>
      </w:r>
    </w:p>
    <w:p w14:paraId="23C93939" w14:textId="067CDC6D" w:rsidR="005A7BFB" w:rsidRPr="005A7BFB" w:rsidRDefault="005A7BFB" w:rsidP="005A7BF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sz w:val="20"/>
          <w:szCs w:val="20"/>
        </w:rPr>
        <w:t>b.</w:t>
      </w:r>
      <w:r w:rsidRPr="005A7BFB">
        <w:rPr>
          <w:rFonts w:ascii="Arial" w:eastAsia="Times New Roman" w:hAnsi="Arial" w:cs="Arial"/>
          <w:sz w:val="20"/>
          <w:szCs w:val="20"/>
        </w:rPr>
        <w:t xml:space="preserve"> </w:t>
      </w:r>
      <w:r w:rsidRPr="005A7BFB">
        <w:rPr>
          <w:rFonts w:ascii="Arial" w:eastAsia="Times New Roman" w:hAnsi="Arial" w:cs="Arial"/>
          <w:sz w:val="20"/>
          <w:szCs w:val="20"/>
        </w:rPr>
        <w:t>Acute cholecystitis</w:t>
      </w:r>
    </w:p>
    <w:p w14:paraId="4A486A45" w14:textId="2E66AB93" w:rsidR="005A7BFB" w:rsidRPr="005A7BFB" w:rsidRDefault="005A7BFB" w:rsidP="005A7BF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sz w:val="20"/>
          <w:szCs w:val="20"/>
        </w:rPr>
        <w:t>c.</w:t>
      </w:r>
      <w:r w:rsidRPr="005A7BFB">
        <w:rPr>
          <w:rFonts w:ascii="Arial" w:eastAsia="Times New Roman" w:hAnsi="Arial" w:cs="Arial"/>
          <w:sz w:val="20"/>
          <w:szCs w:val="20"/>
        </w:rPr>
        <w:t xml:space="preserve"> </w:t>
      </w:r>
      <w:r w:rsidRPr="005A7BFB">
        <w:rPr>
          <w:rFonts w:ascii="Arial" w:eastAsia="Times New Roman" w:hAnsi="Arial" w:cs="Arial"/>
          <w:sz w:val="20"/>
          <w:szCs w:val="20"/>
        </w:rPr>
        <w:t>Ascending cholangitis</w:t>
      </w:r>
      <w:bookmarkStart w:id="0" w:name="_GoBack"/>
      <w:bookmarkEnd w:id="0"/>
    </w:p>
    <w:p w14:paraId="41DC4B55" w14:textId="7D43DBFD" w:rsidR="005A7BFB" w:rsidRPr="005A7BFB" w:rsidRDefault="005A7BFB" w:rsidP="005A7BF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sz w:val="20"/>
          <w:szCs w:val="20"/>
        </w:rPr>
        <w:t>d.</w:t>
      </w:r>
      <w:r w:rsidRPr="005A7BFB">
        <w:rPr>
          <w:rFonts w:ascii="Arial" w:eastAsia="Times New Roman" w:hAnsi="Arial" w:cs="Arial"/>
          <w:sz w:val="20"/>
          <w:szCs w:val="20"/>
        </w:rPr>
        <w:t xml:space="preserve"> </w:t>
      </w:r>
      <w:r w:rsidRPr="005A7BFB">
        <w:rPr>
          <w:rFonts w:ascii="Arial" w:eastAsia="Times New Roman" w:hAnsi="Arial" w:cs="Arial"/>
          <w:sz w:val="20"/>
          <w:szCs w:val="20"/>
        </w:rPr>
        <w:t>Gallstone pancreatitis</w:t>
      </w:r>
    </w:p>
    <w:p w14:paraId="2F5B6C14" w14:textId="77777777" w:rsidR="005A7BFB" w:rsidRPr="005A7BFB" w:rsidRDefault="005A7BFB" w:rsidP="005A7B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97684B" w14:textId="79D5F4BD" w:rsidR="005A7BFB" w:rsidRPr="005A7BFB" w:rsidRDefault="005A7BFB" w:rsidP="005A7B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sz w:val="20"/>
          <w:szCs w:val="20"/>
        </w:rPr>
        <w:t xml:space="preserve">Describe the sensitivity and specificity of the following imaging tests for acute </w:t>
      </w:r>
    </w:p>
    <w:p w14:paraId="1B88ADA3" w14:textId="77777777" w:rsidR="005A7BFB" w:rsidRPr="005A7BFB" w:rsidRDefault="005A7BFB" w:rsidP="005A7B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sz w:val="20"/>
          <w:szCs w:val="20"/>
        </w:rPr>
        <w:t xml:space="preserve">cholecystitis and </w:t>
      </w:r>
      <w:proofErr w:type="spellStart"/>
      <w:r w:rsidRPr="005A7BFB">
        <w:rPr>
          <w:rFonts w:ascii="Arial" w:eastAsia="Times New Roman" w:hAnsi="Arial" w:cs="Arial"/>
          <w:sz w:val="20"/>
          <w:szCs w:val="20"/>
        </w:rPr>
        <w:t>choledolcholithiasis</w:t>
      </w:r>
      <w:proofErr w:type="spellEnd"/>
      <w:r w:rsidRPr="005A7BFB">
        <w:rPr>
          <w:rFonts w:ascii="Arial" w:eastAsia="Times New Roman" w:hAnsi="Arial" w:cs="Arial"/>
          <w:sz w:val="20"/>
          <w:szCs w:val="20"/>
        </w:rPr>
        <w:t>:</w:t>
      </w:r>
    </w:p>
    <w:p w14:paraId="12DFF350" w14:textId="27EEEF60" w:rsidR="005A7BFB" w:rsidRPr="005A7BFB" w:rsidRDefault="005A7BFB" w:rsidP="005A7BF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sz w:val="20"/>
          <w:szCs w:val="20"/>
        </w:rPr>
        <w:t>a.</w:t>
      </w:r>
      <w:r w:rsidRPr="005A7BFB">
        <w:rPr>
          <w:rFonts w:ascii="Arial" w:eastAsia="Times New Roman" w:hAnsi="Arial" w:cs="Arial"/>
          <w:sz w:val="20"/>
          <w:szCs w:val="20"/>
        </w:rPr>
        <w:t xml:space="preserve"> </w:t>
      </w:r>
      <w:r w:rsidRPr="005A7BFB">
        <w:rPr>
          <w:rFonts w:ascii="Arial" w:eastAsia="Times New Roman" w:hAnsi="Arial" w:cs="Arial"/>
          <w:sz w:val="20"/>
          <w:szCs w:val="20"/>
        </w:rPr>
        <w:t>Ultrasound</w:t>
      </w:r>
    </w:p>
    <w:p w14:paraId="13E90A20" w14:textId="20BE4752" w:rsidR="005A7BFB" w:rsidRPr="005A7BFB" w:rsidRDefault="005A7BFB" w:rsidP="005A7BF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sz w:val="20"/>
          <w:szCs w:val="20"/>
        </w:rPr>
        <w:t>b.</w:t>
      </w:r>
      <w:r w:rsidRPr="005A7BFB">
        <w:rPr>
          <w:rFonts w:ascii="Arial" w:eastAsia="Times New Roman" w:hAnsi="Arial" w:cs="Arial"/>
          <w:sz w:val="20"/>
          <w:szCs w:val="20"/>
        </w:rPr>
        <w:t xml:space="preserve"> </w:t>
      </w:r>
      <w:r w:rsidRPr="005A7BFB">
        <w:rPr>
          <w:rFonts w:ascii="Arial" w:eastAsia="Times New Roman" w:hAnsi="Arial" w:cs="Arial"/>
          <w:sz w:val="20"/>
          <w:szCs w:val="20"/>
        </w:rPr>
        <w:t>HIDA scan</w:t>
      </w:r>
    </w:p>
    <w:p w14:paraId="23B80B01" w14:textId="77777777" w:rsidR="005A7BFB" w:rsidRPr="005A7BFB" w:rsidRDefault="005A7BFB" w:rsidP="005A7BF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sz w:val="20"/>
          <w:szCs w:val="20"/>
        </w:rPr>
        <w:t>c.</w:t>
      </w:r>
      <w:r w:rsidRPr="005A7BFB">
        <w:rPr>
          <w:rFonts w:ascii="Arial" w:eastAsia="Times New Roman" w:hAnsi="Arial" w:cs="Arial"/>
          <w:sz w:val="20"/>
          <w:szCs w:val="20"/>
        </w:rPr>
        <w:t xml:space="preserve"> </w:t>
      </w:r>
      <w:r w:rsidRPr="005A7BFB">
        <w:rPr>
          <w:rFonts w:ascii="Arial" w:eastAsia="Times New Roman" w:hAnsi="Arial" w:cs="Arial"/>
          <w:sz w:val="20"/>
          <w:szCs w:val="20"/>
        </w:rPr>
        <w:t>MRCP</w:t>
      </w:r>
    </w:p>
    <w:p w14:paraId="797C4CF4" w14:textId="77777777" w:rsidR="005A7BFB" w:rsidRPr="005A7BFB" w:rsidRDefault="005A7BFB" w:rsidP="005A7BF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14:paraId="24820E91" w14:textId="21237FC5" w:rsidR="005A7BFB" w:rsidRPr="005A7BFB" w:rsidRDefault="005A7BFB" w:rsidP="005A7B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sz w:val="20"/>
          <w:szCs w:val="20"/>
        </w:rPr>
        <w:t>Describe the indications for cholecystostomy tube placement.</w:t>
      </w:r>
    </w:p>
    <w:p w14:paraId="11928581" w14:textId="75332471" w:rsidR="005A7BFB" w:rsidRPr="005A7BFB" w:rsidRDefault="005A7BFB" w:rsidP="005A7B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sz w:val="20"/>
          <w:szCs w:val="20"/>
        </w:rPr>
        <w:t xml:space="preserve">Understand the pathophysiology of acalculous cholecystitis and how it differs </w:t>
      </w:r>
    </w:p>
    <w:p w14:paraId="3D186F4B" w14:textId="77777777" w:rsidR="005A7BFB" w:rsidRPr="005A7BFB" w:rsidRDefault="005A7BFB" w:rsidP="005A7B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sz w:val="20"/>
          <w:szCs w:val="20"/>
        </w:rPr>
        <w:t>from calculous cholecystitis.</w:t>
      </w:r>
    </w:p>
    <w:p w14:paraId="59681F25" w14:textId="4090022A" w:rsidR="005A7BFB" w:rsidRPr="005A7BFB" w:rsidRDefault="005A7BFB" w:rsidP="005A7B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sz w:val="20"/>
          <w:szCs w:val="20"/>
        </w:rPr>
        <w:t xml:space="preserve">Understand the preferred timing of cholecystectomy in a patient with gallstone </w:t>
      </w:r>
    </w:p>
    <w:p w14:paraId="0A7FBDDD" w14:textId="77777777" w:rsidR="005A7BFB" w:rsidRPr="005A7BFB" w:rsidRDefault="005A7BFB" w:rsidP="005A7B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7BFB">
        <w:rPr>
          <w:rFonts w:ascii="Arial" w:eastAsia="Times New Roman" w:hAnsi="Arial" w:cs="Arial"/>
          <w:sz w:val="20"/>
          <w:szCs w:val="20"/>
        </w:rPr>
        <w:t>pancreatitis</w:t>
      </w:r>
    </w:p>
    <w:p w14:paraId="2D3B0F41" w14:textId="77777777" w:rsidR="005A7BFB" w:rsidRDefault="005A7BFB"/>
    <w:sectPr w:rsidR="005A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7D29"/>
    <w:multiLevelType w:val="hybridMultilevel"/>
    <w:tmpl w:val="AA9A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2DD3"/>
    <w:multiLevelType w:val="hybridMultilevel"/>
    <w:tmpl w:val="92F68A02"/>
    <w:lvl w:ilvl="0" w:tplc="14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06E5E"/>
    <w:multiLevelType w:val="hybridMultilevel"/>
    <w:tmpl w:val="AE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16322"/>
    <w:multiLevelType w:val="hybridMultilevel"/>
    <w:tmpl w:val="D3E0A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F089A"/>
    <w:multiLevelType w:val="hybridMultilevel"/>
    <w:tmpl w:val="D7F8C8E2"/>
    <w:lvl w:ilvl="0" w:tplc="276CE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2FC4"/>
    <w:multiLevelType w:val="hybridMultilevel"/>
    <w:tmpl w:val="BF34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FB"/>
    <w:rsid w:val="005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D73A"/>
  <w15:chartTrackingRefBased/>
  <w15:docId w15:val="{14CD6C02-2E5D-4BE5-AA9A-11DB3B35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3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archbold</dc:creator>
  <cp:keywords/>
  <dc:description/>
  <cp:lastModifiedBy>dana archbold</cp:lastModifiedBy>
  <cp:revision>1</cp:revision>
  <dcterms:created xsi:type="dcterms:W3CDTF">2020-04-13T17:56:00Z</dcterms:created>
  <dcterms:modified xsi:type="dcterms:W3CDTF">2020-04-13T18:04:00Z</dcterms:modified>
</cp:coreProperties>
</file>