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81F3" w14:textId="77777777" w:rsidR="000B7D0A" w:rsidRPr="006A303D" w:rsidRDefault="000B7D0A" w:rsidP="000B7D0A">
      <w:pPr>
        <w:jc w:val="center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OBJECTIVES</w:t>
      </w:r>
    </w:p>
    <w:p w14:paraId="4F1118E0" w14:textId="77777777" w:rsidR="000B7D0A" w:rsidRPr="00304864" w:rsidRDefault="000B7D0A" w:rsidP="000B7D0A">
      <w:pPr>
        <w:jc w:val="center"/>
        <w:rPr>
          <w:rFonts w:cstheme="minorHAnsi"/>
          <w:b/>
          <w:bCs/>
          <w:sz w:val="20"/>
          <w:szCs w:val="20"/>
        </w:rPr>
      </w:pPr>
      <w:r w:rsidRPr="00304864">
        <w:rPr>
          <w:rFonts w:cstheme="minorHAnsi"/>
          <w:b/>
          <w:bCs/>
          <w:sz w:val="20"/>
          <w:szCs w:val="20"/>
        </w:rPr>
        <w:t>Nov 3</w:t>
      </w:r>
    </w:p>
    <w:p w14:paraId="5DF41BCB" w14:textId="77777777" w:rsidR="000B7D0A" w:rsidRPr="006A303D" w:rsidRDefault="000B7D0A" w:rsidP="000B7D0A">
      <w:pPr>
        <w:rPr>
          <w:rFonts w:cstheme="minorHAnsi"/>
          <w:b/>
          <w:sz w:val="20"/>
          <w:szCs w:val="20"/>
          <w:u w:val="single"/>
        </w:rPr>
      </w:pPr>
      <w:r w:rsidRPr="006A303D">
        <w:rPr>
          <w:rFonts w:cstheme="minorHAnsi"/>
          <w:b/>
          <w:sz w:val="20"/>
          <w:szCs w:val="20"/>
          <w:u w:val="single"/>
        </w:rPr>
        <w:t>CAP/HAP</w:t>
      </w:r>
    </w:p>
    <w:p w14:paraId="78DB3374" w14:textId="77777777" w:rsidR="000B7D0A" w:rsidRPr="006A303D" w:rsidRDefault="000B7D0A" w:rsidP="000B7D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303D">
        <w:rPr>
          <w:rFonts w:cstheme="minorHAnsi"/>
          <w:color w:val="000000"/>
          <w:sz w:val="20"/>
          <w:szCs w:val="20"/>
        </w:rPr>
        <w:t xml:space="preserve">Understand the proper use of scoring systems to determine severity of pneumonia and its initial </w:t>
      </w:r>
    </w:p>
    <w:p w14:paraId="0C51DAE3" w14:textId="77777777" w:rsidR="000B7D0A" w:rsidRPr="006A303D" w:rsidRDefault="000B7D0A" w:rsidP="000B7D0A">
      <w:pPr>
        <w:pStyle w:val="ListParagraph"/>
        <w:ind w:left="648"/>
        <w:rPr>
          <w:rFonts w:cstheme="minorHAnsi"/>
          <w:sz w:val="20"/>
          <w:szCs w:val="20"/>
        </w:rPr>
      </w:pPr>
      <w:r w:rsidRPr="006A303D">
        <w:rPr>
          <w:rFonts w:cstheme="minorHAnsi"/>
          <w:color w:val="000000"/>
          <w:sz w:val="20"/>
          <w:szCs w:val="20"/>
        </w:rPr>
        <w:t>empiric treatment and setting of care. (PSI score, CURB-65, and SMART-COP).</w:t>
      </w:r>
    </w:p>
    <w:p w14:paraId="3B46DFC0" w14:textId="77777777" w:rsidR="000B7D0A" w:rsidRPr="006A303D" w:rsidRDefault="000B7D0A" w:rsidP="000B7D0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A303D">
        <w:rPr>
          <w:rFonts w:asciiTheme="minorHAnsi" w:hAnsiTheme="minorHAnsi" w:cstheme="minorHAnsi"/>
          <w:color w:val="000000"/>
          <w:sz w:val="20"/>
          <w:szCs w:val="20"/>
        </w:rPr>
        <w:t>What are the most common pathogens responsible for CAP? Among patients presenting with CAP, who requires additional testing for the specific infection-causing pathogen?</w:t>
      </w:r>
    </w:p>
    <w:p w14:paraId="2902A5D0" w14:textId="77777777" w:rsidR="000B7D0A" w:rsidRPr="006A303D" w:rsidRDefault="000B7D0A" w:rsidP="000B7D0A">
      <w:pPr>
        <w:pStyle w:val="xmsonormal"/>
        <w:spacing w:before="0" w:beforeAutospacing="0" w:after="0" w:afterAutospacing="0"/>
        <w:ind w:left="288"/>
        <w:rPr>
          <w:rFonts w:asciiTheme="minorHAnsi" w:hAnsiTheme="minorHAnsi" w:cstheme="minorHAnsi"/>
          <w:color w:val="000000"/>
          <w:sz w:val="20"/>
          <w:szCs w:val="20"/>
        </w:rPr>
      </w:pPr>
      <w:r w:rsidRPr="006A303D">
        <w:rPr>
          <w:rFonts w:asciiTheme="minorHAnsi" w:hAnsiTheme="minorHAnsi" w:cstheme="minorHAnsi"/>
          <w:color w:val="000000"/>
          <w:sz w:val="20"/>
          <w:szCs w:val="20"/>
        </w:rPr>
        <w:t>3.    List appropriate antibiotic regimens for CAP and recall duration of therapy.</w:t>
      </w:r>
    </w:p>
    <w:p w14:paraId="659FE6F7" w14:textId="77777777" w:rsidR="000B7D0A" w:rsidRPr="006A303D" w:rsidRDefault="000B7D0A" w:rsidP="000B7D0A">
      <w:pPr>
        <w:pStyle w:val="xmsonormal"/>
        <w:spacing w:before="0" w:beforeAutospacing="0" w:after="0" w:afterAutospacing="0"/>
        <w:ind w:left="288"/>
        <w:rPr>
          <w:rFonts w:asciiTheme="minorHAnsi" w:hAnsiTheme="minorHAnsi" w:cstheme="minorHAnsi"/>
          <w:color w:val="000000"/>
          <w:sz w:val="20"/>
          <w:szCs w:val="20"/>
        </w:rPr>
      </w:pPr>
      <w:r w:rsidRPr="006A303D">
        <w:rPr>
          <w:rFonts w:asciiTheme="minorHAnsi" w:hAnsiTheme="minorHAnsi" w:cstheme="minorHAnsi"/>
          <w:color w:val="000000"/>
          <w:sz w:val="20"/>
          <w:szCs w:val="20"/>
        </w:rPr>
        <w:t>4.    Identify risk factors for CAP with drug resistant pathogens and describe their management.</w:t>
      </w:r>
    </w:p>
    <w:p w14:paraId="426C79BB" w14:textId="77777777" w:rsidR="000B7D0A" w:rsidRPr="006A303D" w:rsidRDefault="000B7D0A" w:rsidP="000B7D0A">
      <w:pPr>
        <w:pStyle w:val="xmsonormal"/>
        <w:spacing w:before="0" w:beforeAutospacing="0" w:after="0" w:afterAutospacing="0"/>
        <w:ind w:left="288"/>
        <w:rPr>
          <w:rFonts w:asciiTheme="minorHAnsi" w:hAnsiTheme="minorHAnsi" w:cstheme="minorHAnsi"/>
          <w:color w:val="000000"/>
          <w:sz w:val="20"/>
          <w:szCs w:val="20"/>
        </w:rPr>
      </w:pPr>
    </w:p>
    <w:p w14:paraId="5686D944" w14:textId="77777777" w:rsidR="000B7D0A" w:rsidRPr="006A303D" w:rsidRDefault="000B7D0A" w:rsidP="000B7D0A">
      <w:pPr>
        <w:pStyle w:val="xmsonormal"/>
        <w:spacing w:before="0" w:beforeAutospacing="0" w:after="0" w:afterAutospacing="0"/>
        <w:ind w:left="288"/>
        <w:rPr>
          <w:rFonts w:asciiTheme="minorHAnsi" w:hAnsiTheme="minorHAnsi" w:cstheme="minorHAnsi"/>
          <w:color w:val="000000"/>
          <w:sz w:val="20"/>
          <w:szCs w:val="20"/>
        </w:rPr>
      </w:pPr>
    </w:p>
    <w:p w14:paraId="0E49F9D8" w14:textId="77777777" w:rsidR="000B7D0A" w:rsidRPr="006A303D" w:rsidRDefault="000B7D0A" w:rsidP="000B7D0A">
      <w:pPr>
        <w:rPr>
          <w:rFonts w:cstheme="minorHAnsi"/>
          <w:b/>
          <w:sz w:val="20"/>
          <w:szCs w:val="20"/>
          <w:u w:val="single"/>
        </w:rPr>
      </w:pPr>
      <w:r w:rsidRPr="006A303D">
        <w:rPr>
          <w:rFonts w:cstheme="minorHAnsi"/>
          <w:b/>
          <w:sz w:val="20"/>
          <w:szCs w:val="20"/>
          <w:u w:val="single"/>
        </w:rPr>
        <w:t>Pulmonary Embolism</w:t>
      </w:r>
    </w:p>
    <w:p w14:paraId="47029BC6" w14:textId="77777777" w:rsidR="000B7D0A" w:rsidRPr="006A303D" w:rsidRDefault="000B7D0A" w:rsidP="000B7D0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Recognize the risk factors for venous thromboembolism and the signs of symptoms of the disease. </w:t>
      </w:r>
    </w:p>
    <w:p w14:paraId="4A1EDFA2" w14:textId="77777777" w:rsidR="000B7D0A" w:rsidRPr="006A303D" w:rsidRDefault="000B7D0A" w:rsidP="000B7D0A">
      <w:pPr>
        <w:pStyle w:val="Default"/>
        <w:numPr>
          <w:ilvl w:val="0"/>
          <w:numId w:val="2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Know </w:t>
      </w:r>
      <w:r w:rsidRPr="006A303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both </w:t>
      </w:r>
      <w:r w:rsidRPr="006A303D">
        <w:rPr>
          <w:rFonts w:asciiTheme="minorHAnsi" w:hAnsiTheme="minorHAnsi" w:cstheme="minorHAnsi"/>
          <w:sz w:val="20"/>
          <w:szCs w:val="20"/>
        </w:rPr>
        <w:t xml:space="preserve">the PERC score (Pulmonary Embolism Rule-Out Criteria) and the Well’s Score to develop a pre-test probability of your patient having a pulmonary embolism. </w:t>
      </w:r>
    </w:p>
    <w:p w14:paraId="1D76287D" w14:textId="77777777" w:rsidR="000B7D0A" w:rsidRPr="006A303D" w:rsidRDefault="000B7D0A" w:rsidP="000B7D0A">
      <w:pPr>
        <w:pStyle w:val="Default"/>
        <w:numPr>
          <w:ilvl w:val="0"/>
          <w:numId w:val="2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Know the indications for CT angiography and VQ scans for the diagnosis of PE. Know the preferred imaging test to order in a pregnant woman. </w:t>
      </w:r>
    </w:p>
    <w:p w14:paraId="58FC06B2" w14:textId="77777777" w:rsidR="000B7D0A" w:rsidRPr="006A303D" w:rsidRDefault="000B7D0A" w:rsidP="000B7D0A">
      <w:pPr>
        <w:pStyle w:val="Default"/>
        <w:numPr>
          <w:ilvl w:val="0"/>
          <w:numId w:val="2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Determine the severity of a PE based on hemodynamic parameters, biomarkers (troponin and BNP) and echocardiogram findings. Know the appropriate treatment for patients with massive PE. </w:t>
      </w:r>
    </w:p>
    <w:p w14:paraId="5799B8D9" w14:textId="77777777" w:rsidR="000B7D0A" w:rsidRPr="006A303D" w:rsidRDefault="000B7D0A" w:rsidP="000B7D0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Determine the treatment options for patients with non-massive PE. Know who should be treated prior to making the diagnosis. </w:t>
      </w:r>
    </w:p>
    <w:p w14:paraId="3F554309" w14:textId="77777777" w:rsidR="000B7D0A" w:rsidRPr="006A303D" w:rsidRDefault="000B7D0A" w:rsidP="000B7D0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F980D1" w14:textId="77777777" w:rsidR="000B7D0A" w:rsidRPr="006A303D" w:rsidRDefault="000B7D0A" w:rsidP="000B7D0A">
      <w:pPr>
        <w:pStyle w:val="xmsonormal"/>
        <w:spacing w:before="0" w:beforeAutospacing="0" w:after="0" w:afterAutospacing="0"/>
        <w:ind w:left="288"/>
        <w:rPr>
          <w:rFonts w:asciiTheme="minorHAnsi" w:hAnsiTheme="minorHAnsi" w:cstheme="minorHAnsi"/>
          <w:color w:val="000000"/>
          <w:sz w:val="20"/>
          <w:szCs w:val="20"/>
        </w:rPr>
      </w:pPr>
    </w:p>
    <w:p w14:paraId="32CFB5E2" w14:textId="77777777" w:rsidR="000B7D0A" w:rsidRPr="00F75DA5" w:rsidRDefault="000B7D0A" w:rsidP="000B7D0A">
      <w:pPr>
        <w:rPr>
          <w:b/>
          <w:sz w:val="20"/>
          <w:szCs w:val="20"/>
          <w:u w:val="single"/>
        </w:rPr>
      </w:pPr>
      <w:r w:rsidRPr="00F75DA5">
        <w:rPr>
          <w:b/>
          <w:sz w:val="20"/>
          <w:szCs w:val="20"/>
          <w:u w:val="single"/>
        </w:rPr>
        <w:t>Pulmonary Hypertension</w:t>
      </w:r>
    </w:p>
    <w:p w14:paraId="65815E6A" w14:textId="77777777" w:rsidR="000B7D0A" w:rsidRPr="00F75DA5" w:rsidRDefault="000B7D0A" w:rsidP="000B7D0A">
      <w:pPr>
        <w:pStyle w:val="Default"/>
        <w:rPr>
          <w:rFonts w:asciiTheme="minorHAnsi" w:hAnsiTheme="minorHAnsi"/>
          <w:sz w:val="20"/>
          <w:szCs w:val="20"/>
        </w:rPr>
      </w:pPr>
      <w:r w:rsidRPr="00F75DA5">
        <w:rPr>
          <w:rFonts w:asciiTheme="minorHAnsi" w:hAnsiTheme="minorHAnsi"/>
          <w:sz w:val="20"/>
          <w:szCs w:val="20"/>
        </w:rPr>
        <w:t xml:space="preserve"> </w:t>
      </w:r>
    </w:p>
    <w:p w14:paraId="2F0FF501" w14:textId="77777777" w:rsidR="000B7D0A" w:rsidRDefault="000B7D0A" w:rsidP="000B7D0A">
      <w:pPr>
        <w:pStyle w:val="Default"/>
        <w:numPr>
          <w:ilvl w:val="3"/>
          <w:numId w:val="2"/>
        </w:numPr>
        <w:spacing w:after="36"/>
        <w:ind w:left="720"/>
        <w:rPr>
          <w:rFonts w:asciiTheme="minorHAnsi" w:hAnsiTheme="minorHAnsi"/>
          <w:sz w:val="20"/>
          <w:szCs w:val="20"/>
        </w:rPr>
      </w:pPr>
      <w:r w:rsidRPr="00F75DA5">
        <w:rPr>
          <w:rFonts w:asciiTheme="minorHAnsi" w:hAnsiTheme="minorHAnsi"/>
          <w:sz w:val="20"/>
          <w:szCs w:val="20"/>
        </w:rPr>
        <w:t>Define the clinical manifestations of pulmonary hypertension.</w:t>
      </w:r>
    </w:p>
    <w:p w14:paraId="123701CE" w14:textId="77777777" w:rsidR="000B7D0A" w:rsidRDefault="000B7D0A" w:rsidP="000B7D0A">
      <w:pPr>
        <w:pStyle w:val="Default"/>
        <w:numPr>
          <w:ilvl w:val="3"/>
          <w:numId w:val="2"/>
        </w:numPr>
        <w:spacing w:after="36"/>
        <w:ind w:left="720"/>
        <w:rPr>
          <w:rFonts w:asciiTheme="minorHAnsi" w:hAnsiTheme="minorHAnsi"/>
          <w:sz w:val="20"/>
          <w:szCs w:val="20"/>
        </w:rPr>
      </w:pPr>
      <w:r w:rsidRPr="00F75DA5">
        <w:rPr>
          <w:rFonts w:asciiTheme="minorHAnsi" w:hAnsiTheme="minorHAnsi"/>
          <w:sz w:val="20"/>
          <w:szCs w:val="20"/>
        </w:rPr>
        <w:t xml:space="preserve">Describe the tests used to make the diagnosis of PAH and the appropriate work up to order in the evaluation of a patient with a new diagnosis of PAH. </w:t>
      </w:r>
    </w:p>
    <w:p w14:paraId="634CF887" w14:textId="77777777" w:rsidR="000B7D0A" w:rsidRDefault="000B7D0A" w:rsidP="000B7D0A">
      <w:pPr>
        <w:pStyle w:val="Default"/>
        <w:numPr>
          <w:ilvl w:val="3"/>
          <w:numId w:val="2"/>
        </w:numPr>
        <w:spacing w:after="36"/>
        <w:ind w:left="720"/>
        <w:rPr>
          <w:rFonts w:asciiTheme="minorHAnsi" w:hAnsiTheme="minorHAnsi"/>
          <w:sz w:val="20"/>
          <w:szCs w:val="20"/>
        </w:rPr>
      </w:pPr>
      <w:r w:rsidRPr="00F75DA5">
        <w:rPr>
          <w:rFonts w:asciiTheme="minorHAnsi" w:hAnsiTheme="minorHAnsi"/>
          <w:sz w:val="20"/>
          <w:szCs w:val="20"/>
        </w:rPr>
        <w:t xml:space="preserve">Discuss the importance of a right heart catheterization in the evaluation of PAH. </w:t>
      </w:r>
    </w:p>
    <w:p w14:paraId="1AE731D4" w14:textId="77777777" w:rsidR="000B7D0A" w:rsidRPr="00F75DA5" w:rsidRDefault="000B7D0A" w:rsidP="000B7D0A">
      <w:pPr>
        <w:pStyle w:val="Default"/>
        <w:numPr>
          <w:ilvl w:val="3"/>
          <w:numId w:val="2"/>
        </w:numPr>
        <w:spacing w:after="36"/>
        <w:ind w:left="720"/>
        <w:rPr>
          <w:rFonts w:asciiTheme="minorHAnsi" w:hAnsiTheme="minorHAnsi"/>
          <w:sz w:val="20"/>
          <w:szCs w:val="20"/>
        </w:rPr>
      </w:pPr>
      <w:r w:rsidRPr="00F75DA5">
        <w:rPr>
          <w:rFonts w:asciiTheme="minorHAnsi" w:hAnsiTheme="minorHAnsi"/>
          <w:sz w:val="20"/>
          <w:szCs w:val="20"/>
        </w:rPr>
        <w:t xml:space="preserve">Describe the standard treatments for PAH including the endothelin receptor antagonists, the </w:t>
      </w:r>
      <w:proofErr w:type="spellStart"/>
      <w:r w:rsidRPr="00F75DA5">
        <w:rPr>
          <w:rFonts w:asciiTheme="minorHAnsi" w:hAnsiTheme="minorHAnsi"/>
          <w:sz w:val="20"/>
          <w:szCs w:val="20"/>
        </w:rPr>
        <w:t>prostacyclins</w:t>
      </w:r>
      <w:proofErr w:type="spellEnd"/>
      <w:r w:rsidRPr="00F75DA5">
        <w:rPr>
          <w:rFonts w:asciiTheme="minorHAnsi" w:hAnsiTheme="minorHAnsi"/>
          <w:sz w:val="20"/>
          <w:szCs w:val="20"/>
        </w:rPr>
        <w:t xml:space="preserve">, and the phosphodiesterase type 5 inhibitors and their side effects. </w:t>
      </w:r>
    </w:p>
    <w:p w14:paraId="011EB267" w14:textId="77777777" w:rsidR="000B7D0A" w:rsidRDefault="000B7D0A"/>
    <w:sectPr w:rsidR="000B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36BD"/>
    <w:multiLevelType w:val="hybridMultilevel"/>
    <w:tmpl w:val="4DE02488"/>
    <w:lvl w:ilvl="0" w:tplc="E8DA825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44345116"/>
    <w:multiLevelType w:val="hybridMultilevel"/>
    <w:tmpl w:val="E9E0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0A"/>
    <w:rsid w:val="000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94D9"/>
  <w15:chartTrackingRefBased/>
  <w15:docId w15:val="{FD52533C-74F7-4508-922E-1B6E9F5A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0A"/>
    <w:pPr>
      <w:ind w:left="720"/>
      <w:contextualSpacing/>
    </w:pPr>
  </w:style>
  <w:style w:type="paragraph" w:customStyle="1" w:styleId="xmsonormal">
    <w:name w:val="xmsonormal"/>
    <w:basedOn w:val="Normal"/>
    <w:rsid w:val="000B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1</cp:revision>
  <dcterms:created xsi:type="dcterms:W3CDTF">2020-11-01T14:40:00Z</dcterms:created>
  <dcterms:modified xsi:type="dcterms:W3CDTF">2020-11-01T14:40:00Z</dcterms:modified>
</cp:coreProperties>
</file>