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0D" w:rsidRDefault="00122190" w:rsidP="00122190">
      <w:pPr>
        <w:jc w:val="center"/>
        <w:rPr>
          <w:b/>
          <w:sz w:val="24"/>
          <w:szCs w:val="24"/>
          <w:u w:val="single"/>
        </w:rPr>
      </w:pPr>
      <w:r w:rsidRPr="00122190">
        <w:rPr>
          <w:b/>
          <w:sz w:val="24"/>
          <w:szCs w:val="24"/>
          <w:u w:val="single"/>
        </w:rPr>
        <w:t>July 10, 2018 AHD Objectives</w:t>
      </w:r>
    </w:p>
    <w:p w:rsidR="00122190" w:rsidRDefault="00122190" w:rsidP="00122190">
      <w:pPr>
        <w:jc w:val="center"/>
        <w:rPr>
          <w:b/>
          <w:sz w:val="24"/>
          <w:szCs w:val="24"/>
          <w:u w:val="single"/>
        </w:rPr>
      </w:pPr>
    </w:p>
    <w:p w:rsidR="00122190" w:rsidRDefault="00122190" w:rsidP="001221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Infectious Disease Emergencies:</w:t>
      </w:r>
    </w:p>
    <w:p w:rsidR="00122190" w:rsidRDefault="00122190" w:rsidP="00122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table and compare/contrast the clinical syndromes and CSF studies (cell count, differential, protein, and glucose values) of viral meningitis, encephalitis, and bacterial meningitis.</w:t>
      </w:r>
    </w:p>
    <w:p w:rsidR="00122190" w:rsidRDefault="00122190" w:rsidP="00122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differential diagnosis of the infectious organisms to consider in viral meningitis, encephalitis, and bacterial meningitis.  Know the appropriate diagnostic test</w:t>
      </w:r>
      <w:r w:rsidR="002554D8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554D8">
        <w:rPr>
          <w:sz w:val="24"/>
          <w:szCs w:val="24"/>
        </w:rPr>
        <w:t>)</w:t>
      </w:r>
      <w:r>
        <w:rPr>
          <w:sz w:val="24"/>
          <w:szCs w:val="24"/>
        </w:rPr>
        <w:t xml:space="preserve"> to order on the CSF to confirm the diagnosis.</w:t>
      </w:r>
    </w:p>
    <w:p w:rsidR="00122190" w:rsidRDefault="00122190" w:rsidP="00122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appropriate management (IN ORDER of priority)</w:t>
      </w:r>
      <w:r w:rsidR="009024EC">
        <w:rPr>
          <w:sz w:val="24"/>
          <w:szCs w:val="24"/>
        </w:rPr>
        <w:t xml:space="preserve"> for</w:t>
      </w:r>
      <w:bookmarkStart w:id="0" w:name="_GoBack"/>
      <w:bookmarkEnd w:id="0"/>
      <w:r>
        <w:rPr>
          <w:sz w:val="24"/>
          <w:szCs w:val="24"/>
        </w:rPr>
        <w:t xml:space="preserve"> the patient in whom you are concerned about bacterial meningitis. Know the circumstances in which a CT scan of the brain should be ordered before a lumbar puncture is performed.</w:t>
      </w:r>
    </w:p>
    <w:p w:rsidR="00122190" w:rsidRDefault="002554D8" w:rsidP="00122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table and compare/contrast</w:t>
      </w:r>
      <w:r w:rsidR="00122190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clinical </w:t>
      </w:r>
      <w:r w:rsidR="00122190">
        <w:rPr>
          <w:sz w:val="24"/>
          <w:szCs w:val="24"/>
        </w:rPr>
        <w:t>spectrum of soft tissu</w:t>
      </w:r>
      <w:r>
        <w:rPr>
          <w:sz w:val="24"/>
          <w:szCs w:val="24"/>
        </w:rPr>
        <w:t xml:space="preserve">e infection including erysipelas, cellulitis, and necrotizing soft tissue infection. Know the differential diagnosis of the infectious organisms to consider in each of these infections. </w:t>
      </w:r>
    </w:p>
    <w:p w:rsidR="002554D8" w:rsidRDefault="002554D8" w:rsidP="001221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appropriate empiric therapy, imaging considerations, and need for surgical intervention in the management of these infections.</w:t>
      </w:r>
    </w:p>
    <w:p w:rsidR="002554D8" w:rsidRDefault="002554D8" w:rsidP="002554D8">
      <w:pPr>
        <w:rPr>
          <w:sz w:val="24"/>
          <w:szCs w:val="24"/>
        </w:rPr>
      </w:pPr>
    </w:p>
    <w:p w:rsidR="002554D8" w:rsidRDefault="002554D8" w:rsidP="002554D8">
      <w:pPr>
        <w:rPr>
          <w:b/>
          <w:sz w:val="24"/>
          <w:szCs w:val="24"/>
          <w:u w:val="single"/>
        </w:rPr>
      </w:pPr>
      <w:r w:rsidRPr="002554D8">
        <w:rPr>
          <w:b/>
          <w:sz w:val="24"/>
          <w:szCs w:val="24"/>
          <w:u w:val="single"/>
        </w:rPr>
        <w:t>Acute Stroke</w:t>
      </w:r>
      <w:r>
        <w:rPr>
          <w:b/>
          <w:sz w:val="24"/>
          <w:szCs w:val="24"/>
          <w:u w:val="single"/>
        </w:rPr>
        <w:t xml:space="preserve"> Diagnosis and Management</w:t>
      </w:r>
      <w:r w:rsidRPr="002554D8">
        <w:rPr>
          <w:b/>
          <w:sz w:val="24"/>
          <w:szCs w:val="24"/>
          <w:u w:val="single"/>
        </w:rPr>
        <w:t>:</w:t>
      </w:r>
    </w:p>
    <w:p w:rsidR="002554D8" w:rsidRPr="00490453" w:rsidRDefault="002554D8" w:rsidP="002554D8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90453">
        <w:rPr>
          <w:sz w:val="24"/>
          <w:szCs w:val="24"/>
        </w:rPr>
        <w:t>Know the appropriate imaging tests to order in the patient with acute stroke.</w:t>
      </w:r>
    </w:p>
    <w:p w:rsidR="002554D8" w:rsidRPr="00490453" w:rsidRDefault="002554D8" w:rsidP="002554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0453">
        <w:rPr>
          <w:sz w:val="24"/>
          <w:szCs w:val="24"/>
        </w:rPr>
        <w:t>Know the evidence for IV-TPA in the management of acute ischemic stroke and the guidelines for its administration.</w:t>
      </w:r>
    </w:p>
    <w:p w:rsidR="002554D8" w:rsidRPr="00490453" w:rsidRDefault="002554D8" w:rsidP="002554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0453">
        <w:rPr>
          <w:sz w:val="24"/>
          <w:szCs w:val="24"/>
        </w:rPr>
        <w:t>Know the evidence for aspirin therapy in the management of acute ischemic stroke (dose, time of initiation).</w:t>
      </w:r>
    </w:p>
    <w:p w:rsidR="002554D8" w:rsidRPr="00490453" w:rsidRDefault="002554D8" w:rsidP="002554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0453">
        <w:rPr>
          <w:sz w:val="24"/>
          <w:szCs w:val="24"/>
        </w:rPr>
        <w:t>Know the appropriate management of acute stroke in a patient who presents with atrial fibrillation.</w:t>
      </w:r>
    </w:p>
    <w:p w:rsidR="002554D8" w:rsidRDefault="002554D8" w:rsidP="002554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0453">
        <w:rPr>
          <w:sz w:val="24"/>
          <w:szCs w:val="24"/>
        </w:rPr>
        <w:t>Know the appropriate management of a patient with acute ischemic stroke who presents outside the window for IV-TPA. Identify the circumstances in which catheter directed clot retrieval</w:t>
      </w:r>
      <w:r>
        <w:rPr>
          <w:sz w:val="24"/>
          <w:szCs w:val="24"/>
        </w:rPr>
        <w:t xml:space="preserve"> is</w:t>
      </w:r>
      <w:r w:rsidRPr="00490453">
        <w:rPr>
          <w:sz w:val="24"/>
          <w:szCs w:val="24"/>
        </w:rPr>
        <w:t xml:space="preserve"> indicated and when it is contraindicated.</w:t>
      </w:r>
    </w:p>
    <w:p w:rsidR="002554D8" w:rsidRPr="002554D8" w:rsidRDefault="002554D8" w:rsidP="002554D8">
      <w:pPr>
        <w:rPr>
          <w:b/>
          <w:sz w:val="24"/>
          <w:szCs w:val="24"/>
          <w:u w:val="single"/>
        </w:rPr>
      </w:pPr>
    </w:p>
    <w:p w:rsidR="002554D8" w:rsidRDefault="002554D8" w:rsidP="002554D8">
      <w:pPr>
        <w:rPr>
          <w:b/>
          <w:sz w:val="24"/>
          <w:szCs w:val="24"/>
          <w:u w:val="single"/>
        </w:rPr>
      </w:pPr>
      <w:r w:rsidRPr="002554D8">
        <w:rPr>
          <w:b/>
          <w:sz w:val="24"/>
          <w:szCs w:val="24"/>
          <w:u w:val="single"/>
        </w:rPr>
        <w:t>Acute Coronary Syndrome:</w:t>
      </w:r>
    </w:p>
    <w:p w:rsidR="002554D8" w:rsidRDefault="002554D8" w:rsidP="002554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pathophysiology of STEMI and NSTEMI. Specifically describe the difference between type 1 and type 2 NSTEMI.</w:t>
      </w:r>
    </w:p>
    <w:p w:rsidR="002554D8" w:rsidRDefault="002554D8" w:rsidP="002554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TIMI score for STEMI and NSTEMI. </w:t>
      </w:r>
    </w:p>
    <w:p w:rsidR="002554D8" w:rsidRDefault="002554D8" w:rsidP="002554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Know the appropriate management of STEMI and NSTEMI based on ACC/AHA guidelines.</w:t>
      </w:r>
    </w:p>
    <w:p w:rsidR="002554D8" w:rsidRPr="002554D8" w:rsidRDefault="002554D8" w:rsidP="002554D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abnormal values for high-sensitivity troponin assays, and how to use the new assay in the evaluation of a patient with chest pain who rules out, rules in, and is in the indeterminant range for this biomarker. </w:t>
      </w:r>
    </w:p>
    <w:sectPr w:rsidR="002554D8" w:rsidRPr="00255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8028F"/>
    <w:multiLevelType w:val="hybridMultilevel"/>
    <w:tmpl w:val="AC8A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98D"/>
    <w:multiLevelType w:val="hybridMultilevel"/>
    <w:tmpl w:val="B9F6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2EC"/>
    <w:multiLevelType w:val="hybridMultilevel"/>
    <w:tmpl w:val="D6EA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6697"/>
    <w:multiLevelType w:val="hybridMultilevel"/>
    <w:tmpl w:val="5DF63E7C"/>
    <w:lvl w:ilvl="0" w:tplc="735C0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B1D74"/>
    <w:multiLevelType w:val="hybridMultilevel"/>
    <w:tmpl w:val="093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0"/>
    <w:rsid w:val="00122190"/>
    <w:rsid w:val="002554D8"/>
    <w:rsid w:val="00411F0D"/>
    <w:rsid w:val="009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BD9F"/>
  <w15:chartTrackingRefBased/>
  <w15:docId w15:val="{6A496382-B76B-4C25-9A89-E9096B0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1</cp:revision>
  <dcterms:created xsi:type="dcterms:W3CDTF">2018-06-13T17:40:00Z</dcterms:created>
  <dcterms:modified xsi:type="dcterms:W3CDTF">2018-06-13T18:04:00Z</dcterms:modified>
</cp:coreProperties>
</file>